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bookmarkStart w:id="0" w:name="_GoBack"/>
            <w:bookmarkEnd w:id="0"/>
          </w:p>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38A0AA86" w:rsidR="0000218B" w:rsidRPr="009A7568" w:rsidRDefault="00CF587F" w:rsidP="00CF587F">
            <w:r>
              <w:t>39748/2022-SŽ-GŘ-O8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354FC2D2" w:rsidR="0000218B" w:rsidRDefault="00CF587F" w:rsidP="006F1229">
            <w:r w:rsidRPr="00CF587F">
              <w:t>12/6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56BCD664" w:rsidR="0000218B" w:rsidRDefault="00CF587F" w:rsidP="006F1229">
            <w:r>
              <w:t>Dagmar Poláčková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03BE7803" w:rsidR="009A7568" w:rsidRDefault="001831EB" w:rsidP="0011722C">
            <w:r>
              <w:t>2</w:t>
            </w:r>
            <w:r w:rsidR="00F83B77">
              <w:t>7</w:t>
            </w:r>
            <w:r w:rsidR="00CF587F">
              <w:t>. 06.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143CBAD2" w:rsidR="0028055F" w:rsidRDefault="0028055F" w:rsidP="009D45BD">
      <w:pPr>
        <w:ind w:left="0"/>
      </w:pPr>
      <w:r>
        <w:t>Správa</w:t>
      </w:r>
      <w:r w:rsidR="00074237">
        <w:t xml:space="preserve"> železnic</w:t>
      </w:r>
      <w:r>
        <w:t xml:space="preserve">, státní organizace, se sídlem Praha 1, Nové Město, Dlážděná 1003/7, PSČ 110 </w:t>
      </w:r>
      <w:r w:rsidRPr="00CF587F">
        <w:t>00, generální ředitelství,</w:t>
      </w:r>
      <w:r>
        <w:t xml:space="preserve"> Vás při splnění podmínek uvedených v ustanovení § 6 zákona č. 134/2016 Sb., o zadávání veřejných zakázek, ve znění pozdějších předpisů (dále jen „</w:t>
      </w:r>
      <w:r w:rsidR="00E06306">
        <w:rPr>
          <w:b/>
          <w:i/>
        </w:rPr>
        <w:t>ZZVZ</w:t>
      </w:r>
      <w:r>
        <w:t>“),</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2411C25C" w:rsidR="0028055F" w:rsidRPr="00D6221E" w:rsidRDefault="0028055F" w:rsidP="009D45BD">
      <w:pPr>
        <w:jc w:val="center"/>
      </w:pPr>
      <w:r w:rsidRPr="005E40AB">
        <w:t>„</w:t>
      </w:r>
      <w:r w:rsidR="005E40AB" w:rsidRPr="005E40AB">
        <w:rPr>
          <w:b/>
        </w:rPr>
        <w:t>Konzultační služby pro implementaci a migraci ExaData</w:t>
      </w:r>
      <w:r w:rsidRPr="005E40AB">
        <w:t>“</w:t>
      </w:r>
    </w:p>
    <w:p w14:paraId="769BD8AE" w14:textId="77777777" w:rsidR="0028055F" w:rsidRDefault="0028055F" w:rsidP="0028055F"/>
    <w:p w14:paraId="53D478AE" w14:textId="77777777" w:rsidR="0028055F" w:rsidRDefault="0028055F" w:rsidP="0028055F"/>
    <w:p w14:paraId="3D5360BC" w14:textId="6C77291A" w:rsidR="001206A4" w:rsidRPr="005E40AB" w:rsidRDefault="001206A4" w:rsidP="009D45BD">
      <w:pPr>
        <w:ind w:left="0"/>
      </w:pPr>
      <w:r w:rsidRPr="005E40AB">
        <w:t>Správa železnic, státní organizace, zadává tuto veřejnou zakázku jako podlimitní sektorovou veřejnou zakázku v souvislosti s výkonem relevantní činnosti dle §</w:t>
      </w:r>
      <w:r w:rsidR="00E06306" w:rsidRPr="005E40AB">
        <w:t xml:space="preserve"> </w:t>
      </w:r>
      <w:r w:rsidRPr="005E40AB">
        <w:t xml:space="preserve">151 odst. 1 </w:t>
      </w:r>
      <w:r w:rsidR="00E06306" w:rsidRPr="005E40AB">
        <w:t>ZZVZ</w:t>
      </w:r>
      <w:r w:rsidRPr="005E40AB">
        <w:t xml:space="preserve"> a v souladu s § 158 odst. 1 </w:t>
      </w:r>
      <w:r w:rsidR="00E06306" w:rsidRPr="005E40AB">
        <w:t>ZZVZ</w:t>
      </w:r>
      <w:r w:rsidRPr="005E40AB">
        <w:t xml:space="preserve"> nepostupuje při zadávání této veřejné zakázky podle uvedeného zákona</w:t>
      </w:r>
      <w:r w:rsidR="009C7D53" w:rsidRPr="005E40AB">
        <w:t>.</w:t>
      </w:r>
      <w:r w:rsidR="00F60778" w:rsidRPr="005E40AB">
        <w:t xml:space="preserve"> Řízení na zadání této veřejné zakázky se dále v textu označuje jako „</w:t>
      </w:r>
      <w:r w:rsidR="00F60778" w:rsidRPr="005E40AB">
        <w:rPr>
          <w:b/>
          <w:i/>
        </w:rPr>
        <w:t>výběrové řízení</w:t>
      </w:r>
      <w:r w:rsidR="00F60778" w:rsidRPr="005E40AB">
        <w:t>“.</w:t>
      </w:r>
    </w:p>
    <w:p w14:paraId="0D7E3211" w14:textId="77777777" w:rsidR="001206A4" w:rsidRPr="001206A4" w:rsidRDefault="001206A4" w:rsidP="001206A4"/>
    <w:p w14:paraId="316BC444" w14:textId="099FF37E" w:rsidR="0028055F" w:rsidRDefault="0028055F" w:rsidP="009D45BD">
      <w:pPr>
        <w:ind w:left="0"/>
      </w:pPr>
      <w:r>
        <w:t>Výše uvedená veřejná zakázka je dále v textu označována jen jako „</w:t>
      </w:r>
      <w:r w:rsidRPr="004C0246">
        <w:rPr>
          <w:b/>
          <w:i/>
        </w:rPr>
        <w:t>veřejná zakázka</w:t>
      </w:r>
      <w:r>
        <w:t>“.</w:t>
      </w:r>
      <w:r w:rsidR="00F346F2">
        <w:t xml:space="preserve"> Výzva k podání nabídky je v textu označována též jako „</w:t>
      </w:r>
      <w:r w:rsidR="00F346F2" w:rsidRPr="004C0246">
        <w:rPr>
          <w:b/>
          <w:i/>
        </w:rPr>
        <w:t>Výzva</w:t>
      </w:r>
      <w:r w:rsidR="00F346F2">
        <w:t>“.</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F77597">
        <w:t>Sídlo:</w:t>
      </w:r>
      <w:r w:rsidR="00E63C4E" w:rsidRPr="00F77597">
        <w:tab/>
      </w:r>
      <w:r w:rsidR="00E63C4E" w:rsidRPr="00F77597">
        <w:tab/>
      </w:r>
      <w:r w:rsidRPr="00F77597">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2C2300DC" w:rsidR="0028055F" w:rsidRDefault="0028055F" w:rsidP="00903106">
      <w:r w:rsidRPr="00F77597">
        <w:t>Zastoupen:</w:t>
      </w:r>
      <w:r>
        <w:t xml:space="preserve">    </w:t>
      </w:r>
      <w:r w:rsidR="002363D7">
        <w:tab/>
      </w:r>
      <w:r w:rsidR="00F77597" w:rsidRPr="00F77597">
        <w:rPr>
          <w:b/>
        </w:rPr>
        <w:t>Bc. Jiřím Svobodou, MBA, generálním ředitelem</w:t>
      </w:r>
    </w:p>
    <w:p w14:paraId="48C54674" w14:textId="05A9EC75" w:rsidR="0028055F" w:rsidRDefault="0028055F" w:rsidP="00E51863">
      <w:pPr>
        <w:pStyle w:val="Nadpis1"/>
      </w:pPr>
      <w:r>
        <w:t xml:space="preserve">Komunikace mezi zadavatelem a dodavatelem </w:t>
      </w:r>
    </w:p>
    <w:p w14:paraId="0CED13C1" w14:textId="4E372358" w:rsidR="006E642A" w:rsidRPr="0035202F" w:rsidRDefault="0028055F" w:rsidP="0035364E">
      <w:pPr>
        <w:pStyle w:val="Nadpis2"/>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3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ze strany zadavatele probíhat prostřednictvím elektronického nástroje E-ZAK (na adrese: </w:t>
      </w:r>
      <w:hyperlink r:id="rId11" w:history="1">
        <w:r w:rsidR="00904FBC" w:rsidRPr="00B0389B">
          <w:rPr>
            <w:rStyle w:val="Hypertextovodkaz"/>
          </w:rPr>
          <w:t>https://zakazky.spravazeleznic.cz/</w:t>
        </w:r>
      </w:hyperlink>
      <w:r w:rsidRPr="0035202F">
        <w:t>),</w:t>
      </w:r>
      <w:r w:rsidR="00904FBC">
        <w:t xml:space="preserve"> </w:t>
      </w:r>
      <w:r w:rsidRPr="0035202F">
        <w:t>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8185403" w:rsidR="0028055F" w:rsidRDefault="0028055F" w:rsidP="0035364E">
      <w:pPr>
        <w:pStyle w:val="Nadpis2"/>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47CD97"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35364E">
      <w:pPr>
        <w:pStyle w:val="Nadpis2"/>
      </w:pPr>
      <w:r w:rsidRPr="00726CF4">
        <w:t>I</w:t>
      </w:r>
      <w:r w:rsidRPr="007E7459">
        <w:t>nformace o předmětu veřejné zakázky</w:t>
      </w:r>
      <w:r w:rsidR="00E96351" w:rsidRPr="007E7459">
        <w:t>:</w:t>
      </w:r>
      <w:r w:rsidRPr="007E7459">
        <w:tab/>
      </w:r>
    </w:p>
    <w:p w14:paraId="39FA5A8B" w14:textId="77777777" w:rsidR="001F7D98" w:rsidRDefault="0028055F" w:rsidP="00903106">
      <w:pPr>
        <w:spacing w:line="360" w:lineRule="auto"/>
      </w:pPr>
      <w:r>
        <w:t>Předpokládaná hodnota:</w:t>
      </w:r>
      <w:r>
        <w:tab/>
      </w:r>
      <w:r w:rsidR="006E642A">
        <w:tab/>
      </w:r>
      <w:r w:rsidR="002363D7">
        <w:t xml:space="preserve">   </w:t>
      </w:r>
      <w:r w:rsidR="001F7D98" w:rsidRPr="0053363E">
        <w:t>nezveřejněna</w:t>
      </w:r>
      <w:r w:rsidR="001F7D98">
        <w:t xml:space="preserve"> </w:t>
      </w:r>
    </w:p>
    <w:p w14:paraId="1BB1B488" w14:textId="79A65312" w:rsidR="0028055F" w:rsidRPr="001F7D98" w:rsidRDefault="0028055F" w:rsidP="00903106">
      <w:pPr>
        <w:spacing w:line="360" w:lineRule="auto"/>
      </w:pPr>
      <w:r>
        <w:t>Druh veřejné zakázky:</w:t>
      </w:r>
      <w:r>
        <w:tab/>
      </w:r>
      <w:r>
        <w:tab/>
      </w:r>
      <w:r w:rsidR="002363D7">
        <w:t xml:space="preserve">   </w:t>
      </w:r>
      <w:r w:rsidRPr="001F7D98">
        <w:t>služby</w:t>
      </w:r>
    </w:p>
    <w:p w14:paraId="0B679236" w14:textId="2E074827" w:rsidR="0028055F" w:rsidRDefault="0028055F" w:rsidP="002363D7">
      <w:pPr>
        <w:tabs>
          <w:tab w:val="left" w:pos="3686"/>
        </w:tabs>
        <w:spacing w:line="360" w:lineRule="auto"/>
      </w:pPr>
      <w:r w:rsidRPr="001F7D98">
        <w:t xml:space="preserve">Charakteristika </w:t>
      </w:r>
      <w:r w:rsidR="009D45BD" w:rsidRPr="001F7D98">
        <w:t xml:space="preserve">veřejné zakázky: </w:t>
      </w:r>
      <w:r w:rsidR="009D45BD" w:rsidRPr="001F7D98">
        <w:tab/>
      </w:r>
      <w:r w:rsidRPr="001F7D98">
        <w:t>podlimitní sektorová</w:t>
      </w:r>
    </w:p>
    <w:p w14:paraId="47B25321" w14:textId="62E8717B" w:rsidR="00A848E9" w:rsidRPr="00A848E9" w:rsidRDefault="0028055F" w:rsidP="0035364E">
      <w:pPr>
        <w:pStyle w:val="Nadpis2"/>
      </w:pPr>
      <w:r w:rsidRPr="007E7459">
        <w:rPr>
          <w:b/>
        </w:rPr>
        <w:t>Předmětem</w:t>
      </w:r>
      <w:r w:rsidRPr="007E7459">
        <w:t xml:space="preserve"> </w:t>
      </w:r>
      <w:r w:rsidRPr="007E7459">
        <w:rPr>
          <w:b/>
        </w:rPr>
        <w:t>plnění</w:t>
      </w:r>
      <w:r w:rsidRPr="007E7459">
        <w:t xml:space="preserve"> </w:t>
      </w:r>
      <w:r w:rsidR="00A848E9">
        <w:rPr>
          <w:b/>
        </w:rPr>
        <w:t>jsou</w:t>
      </w:r>
      <w:r w:rsidRPr="007E7459">
        <w:t xml:space="preserve"> </w:t>
      </w:r>
      <w:r w:rsidR="00A848E9" w:rsidRPr="005001C3">
        <w:t>odborné konzultační služby pro</w:t>
      </w:r>
      <w:r w:rsidR="00A848E9" w:rsidRPr="00A848E9">
        <w:t xml:space="preserve"> implementaci nové architektury databázové platformy založené na Exadata Cloud@Customer (ExaCC), Oracle Database Cloud Service (DBCS) a zálohování na Object Storage v Oracle Cloud Infrastructure (OCI).</w:t>
      </w:r>
    </w:p>
    <w:p w14:paraId="7AAB0C8C" w14:textId="5B631F8D" w:rsidR="0028055F" w:rsidRPr="0035364E" w:rsidRDefault="0028055F" w:rsidP="0035364E">
      <w:pPr>
        <w:pStyle w:val="Nadpis2"/>
      </w:pPr>
      <w:r w:rsidRPr="0035364E">
        <w:t>Bližší specifikace předmětu veřejné zakázky je</w:t>
      </w:r>
      <w:r w:rsidR="00454706" w:rsidRPr="0035364E">
        <w:t xml:space="preserve"> obsahem této </w:t>
      </w:r>
      <w:r w:rsidR="00392FB1" w:rsidRPr="0035364E">
        <w:t xml:space="preserve">Výzvy </w:t>
      </w:r>
      <w:r w:rsidR="00454706" w:rsidRPr="0035364E">
        <w:t>jako</w:t>
      </w:r>
      <w:r w:rsidR="00EA21B9" w:rsidRPr="0035364E">
        <w:t xml:space="preserve"> příloha</w:t>
      </w:r>
      <w:r w:rsidRPr="0035364E">
        <w:t xml:space="preserve"> </w:t>
      </w:r>
      <w:r w:rsidR="00D22BAF" w:rsidRPr="0035364E">
        <w:t xml:space="preserve">č. </w:t>
      </w:r>
      <w:r w:rsidR="0035364E" w:rsidRPr="0035364E">
        <w:t>2</w:t>
      </w:r>
      <w:r w:rsidR="00726CF4" w:rsidRPr="0035364E">
        <w:t xml:space="preserve"> </w:t>
      </w:r>
      <w:r w:rsidRPr="0035364E">
        <w:t xml:space="preserve">této Výzvy. </w:t>
      </w:r>
    </w:p>
    <w:p w14:paraId="7AA2326C" w14:textId="3C86AC80" w:rsidR="0028055F" w:rsidRDefault="0028055F" w:rsidP="00E51863">
      <w:pPr>
        <w:pStyle w:val="Nadpis1"/>
      </w:pPr>
      <w:r>
        <w:t>Doba a místo plnění veřejné zakázky</w:t>
      </w:r>
    </w:p>
    <w:p w14:paraId="3B755B16" w14:textId="1869FDCA" w:rsidR="0028055F" w:rsidRPr="00F35533" w:rsidRDefault="0028055F" w:rsidP="0035364E">
      <w:pPr>
        <w:pStyle w:val="Nadpis2"/>
      </w:pPr>
      <w:r w:rsidRPr="00F35533">
        <w:t>Termín zahájení plnění:</w:t>
      </w:r>
      <w:r w:rsidRPr="00F35533">
        <w:tab/>
      </w:r>
      <w:r w:rsidR="00F35533" w:rsidRPr="00F35533">
        <w:t>od účinnosti smlouvy o dílo na vytvoření software.</w:t>
      </w:r>
      <w:r w:rsidRPr="00F35533">
        <w:tab/>
      </w:r>
    </w:p>
    <w:p w14:paraId="20342C97" w14:textId="15C282B0" w:rsidR="0028055F" w:rsidRPr="00F35533" w:rsidRDefault="0028055F" w:rsidP="0035364E">
      <w:pPr>
        <w:pStyle w:val="Nadpis2"/>
      </w:pPr>
      <w:r w:rsidRPr="00F35533">
        <w:t>Termín ukončení plnění:</w:t>
      </w:r>
      <w:r w:rsidRPr="00F35533">
        <w:tab/>
      </w:r>
      <w:r w:rsidR="00F35533" w:rsidRPr="00F35533">
        <w:t>24 měsíců od účinnosti smlouvy o dílo na vytvoření software.</w:t>
      </w:r>
    </w:p>
    <w:p w14:paraId="0C9F6F48" w14:textId="6446541B" w:rsidR="0028055F" w:rsidRPr="00F35533" w:rsidRDefault="0028055F" w:rsidP="0035364E">
      <w:pPr>
        <w:pStyle w:val="Nadpis2"/>
      </w:pPr>
      <w:r w:rsidRPr="00F35533">
        <w:t xml:space="preserve">Místo plnění: </w:t>
      </w:r>
      <w:r w:rsidR="00F35533" w:rsidRPr="00F35533">
        <w:t>sídlo zadavatele, pracoviště SŽT Praha, CDP Praha.</w:t>
      </w:r>
    </w:p>
    <w:p w14:paraId="49D0A809" w14:textId="28C00023" w:rsidR="003F5636" w:rsidRDefault="003F5636" w:rsidP="00210C22">
      <w:pPr>
        <w:pStyle w:val="Nadpis1"/>
        <w:ind w:left="431" w:hanging="431"/>
      </w:pPr>
      <w:bookmarkStart w:id="2" w:name="_Toc59538672"/>
      <w:r>
        <w:t>S</w:t>
      </w:r>
      <w:r w:rsidR="004E3FD0">
        <w:t>ociálně a environmentálně odpovědné zadávání, inovace</w:t>
      </w:r>
      <w:bookmarkEnd w:id="2"/>
    </w:p>
    <w:p w14:paraId="0FF77A85" w14:textId="77777777" w:rsidR="003A66AA" w:rsidRPr="004F04E5" w:rsidRDefault="003A66AA" w:rsidP="003A66AA">
      <w:pPr>
        <w:pStyle w:val="Nadpis2"/>
      </w:pPr>
      <w:r w:rsidRPr="004F04E5">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4F04E5">
        <w:rPr>
          <w:b/>
          <w:i/>
        </w:rPr>
        <w:t>odpovědné zadávání</w:t>
      </w:r>
      <w:r w:rsidRPr="004F04E5">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423FE22" w14:textId="77777777" w:rsidR="003A66AA" w:rsidRPr="004F04E5" w:rsidRDefault="003A66AA" w:rsidP="003A66AA">
      <w:pPr>
        <w:pStyle w:val="Nadpis2"/>
      </w:pPr>
      <w:r w:rsidRPr="004F04E5">
        <w:t>Zadavatel neaplikuje ve výběrovém 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13D93293" w14:textId="77777777" w:rsidR="003A66AA" w:rsidRPr="008620AB" w:rsidRDefault="003A66AA" w:rsidP="003A66AA">
      <w:pPr>
        <w:pStyle w:val="Nadpis3"/>
      </w:pPr>
      <w:r w:rsidRPr="008620AB">
        <w:lastRenderedPageBreak/>
        <w:t>V oblasti environmentálního odpovědného zadávání zadavatel neshledal potřebu použití dílčích aspektů odpovědného zadávání v důsledku marginálních dopadů činností</w:t>
      </w:r>
      <w:r>
        <w:t xml:space="preserve">, které jsou předmětem této veřejné zakázky, </w:t>
      </w:r>
      <w:r w:rsidRPr="008620AB">
        <w:t>na životní prostředí.</w:t>
      </w:r>
    </w:p>
    <w:p w14:paraId="0E75EB2D" w14:textId="77777777" w:rsidR="003A66AA" w:rsidRPr="008620AB" w:rsidRDefault="003A66AA" w:rsidP="003A66AA">
      <w:pPr>
        <w:pStyle w:val="Nadpis3"/>
      </w:pPr>
      <w:r w:rsidRPr="008620AB">
        <w:t>V oblasti sociálně odpovědného zadávání zadavatel dále neshledal potřebu použití dalších dílčích aspektů odpovědného zadávání s ohlede</w:t>
      </w:r>
      <w:r>
        <w:t xml:space="preserve">m na dobu poskytovaných činností </w:t>
      </w:r>
      <w:r w:rsidRPr="008620AB">
        <w:t xml:space="preserve">v rámci předmětu této veřejné zakázky a s ohledem </w:t>
      </w:r>
      <w:r>
        <w:t>na specifičnost těchto</w:t>
      </w:r>
      <w:r w:rsidRPr="008620AB">
        <w:t xml:space="preserve"> služ</w:t>
      </w:r>
      <w:r>
        <w:t>eb a potřebu vyšší kvalifikace osob pro jejich plnění</w:t>
      </w:r>
      <w:r w:rsidRPr="008620AB">
        <w:t xml:space="preserve"> s vysokou </w:t>
      </w:r>
      <w:r>
        <w:t xml:space="preserve">cenou práce bez typických rizikových činností spojených s porušováním pracovněprávních předpisů a mezinárodních úmluv o lidských právech, sociálních či pracovních právech. </w:t>
      </w:r>
    </w:p>
    <w:p w14:paraId="5CCBD28C" w14:textId="77777777" w:rsidR="003A66AA" w:rsidRDefault="003A66AA" w:rsidP="003A66AA">
      <w:pPr>
        <w:pStyle w:val="Nadpis3"/>
      </w:pPr>
      <w:r w:rsidRPr="008620AB">
        <w:t>V oblasti inovací zadavatel nestanovil dílčí kritéria</w:t>
      </w:r>
      <w:r>
        <w:t xml:space="preserve"> odpovědného zadávání s ohledem na předmět veřejné zakázky, který zahrnuje standardizované postupy při poskytování konzultačních služeb </w:t>
      </w:r>
      <w:r w:rsidRPr="00A9340E">
        <w:t>pro implementaci nové architektury databázové platformy</w:t>
      </w:r>
      <w:r>
        <w:t>.</w:t>
      </w:r>
      <w:r w:rsidRPr="008620AB">
        <w:t xml:space="preserve"> </w:t>
      </w:r>
    </w:p>
    <w:p w14:paraId="12591D5A" w14:textId="77777777" w:rsidR="003A66AA" w:rsidRPr="00922958" w:rsidRDefault="003A66AA" w:rsidP="003A66AA">
      <w:pPr>
        <w:pStyle w:val="Nadpis3"/>
      </w:pPr>
      <w:r>
        <w:rPr>
          <w:szCs w:val="20"/>
        </w:rPr>
        <w:t>V oblasti poskytování plnění VZ sociálním podnikem zadání IT zakázky neomezuje dodavatele v možnosti spolupráce s poddodavateli, pokud ti budou dostatečně kvalifikovaní pro takovou činnost. Ze seznamu sociálních podniků ale vyplývá, že se v oblasti IT služeb zaměřují na servis zařízení a grafické služby, což není pro plnění této VZ vhodné.</w:t>
      </w:r>
    </w:p>
    <w:p w14:paraId="7FC7CD06" w14:textId="77777777" w:rsidR="003A66AA" w:rsidRPr="00210856" w:rsidRDefault="003A66AA" w:rsidP="003A66AA">
      <w:pPr>
        <w:pStyle w:val="Nadpis2"/>
      </w:pPr>
      <w:r w:rsidRPr="00210856">
        <w:t xml:space="preserve">Zadavatel aplikuje v zadávacím řízení níže uvedené prvky odpovědného zadávání. </w:t>
      </w:r>
    </w:p>
    <w:p w14:paraId="2F115C63" w14:textId="77777777" w:rsidR="003A66AA" w:rsidRPr="008620AB" w:rsidRDefault="003A66AA" w:rsidP="003A66AA">
      <w:pPr>
        <w:pStyle w:val="Nadpis3"/>
      </w:pPr>
      <w:r w:rsidRPr="008620AB">
        <w:t>Zadavatel v rámci zásady sociálně odpovědného zadávání za účelem usnadnění přístupu k plnění veřejné zakázky</w:t>
      </w:r>
      <w:r>
        <w:t>,</w:t>
      </w:r>
      <w:r w:rsidRPr="008620AB">
        <w:t xml:space="preserve">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793B72D" w:rsidR="0028055F" w:rsidRDefault="0028055F" w:rsidP="0035364E">
      <w:pPr>
        <w:pStyle w:val="Nadpis2"/>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w:t>
      </w:r>
      <w:r w:rsidR="00EA21B9">
        <w:t xml:space="preserve"> přílohou</w:t>
      </w:r>
      <w:r w:rsidRPr="00952A35">
        <w:t xml:space="preserve"> </w:t>
      </w:r>
      <w:r w:rsidR="00D22BAF">
        <w:t>č. 1</w:t>
      </w:r>
      <w:r w:rsidR="00630556">
        <w:t xml:space="preserve"> Kapitolou 2 přílohy </w:t>
      </w:r>
      <w:r w:rsidR="0080495E">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545E7173" w:rsidR="0028055F" w:rsidRDefault="0028055F" w:rsidP="009F0793">
      <w:pPr>
        <w:pStyle w:val="Odstavecseseznamem"/>
        <w:numPr>
          <w:ilvl w:val="0"/>
          <w:numId w:val="8"/>
        </w:numPr>
      </w:pPr>
      <w:r>
        <w:t xml:space="preserve">byl v zemi svého sídla v posledních 5 letech před zahájením </w:t>
      </w:r>
      <w:r w:rsidR="008534BD">
        <w:t xml:space="preserve">výběrového </w:t>
      </w:r>
      <w:r>
        <w:t xml:space="preserve">řízení pravomocně odsouzen pro trestný čin uvedený v příloze č. 3 </w:t>
      </w:r>
      <w:r w:rsidR="00E06306">
        <w:t>ZZVZ</w:t>
      </w:r>
      <w:r>
        <w:t xml:space="preserve">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lastRenderedPageBreak/>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463321CB" w:rsidR="0028055F" w:rsidRDefault="0028055F" w:rsidP="009F0793">
      <w:r>
        <w:t xml:space="preserve">(3) Účastní-li se </w:t>
      </w:r>
      <w:r w:rsidR="008534BD">
        <w:t xml:space="preserve">výběrového </w:t>
      </w:r>
      <w:r>
        <w:t>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6164D421" w:rsidR="00EB6809" w:rsidRPr="00EB6809" w:rsidRDefault="0028055F" w:rsidP="009F0793">
      <w:pPr>
        <w:pStyle w:val="Nadpis3"/>
      </w:pPr>
      <w:r w:rsidRPr="00453B8F">
        <w:t xml:space="preserve">Účastník </w:t>
      </w:r>
      <w:r w:rsidR="008534BD">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35364E">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A4F2DE0"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3CBA0B7D" w:rsidR="0028055F" w:rsidRDefault="0028055F" w:rsidP="009F0793">
      <w:r>
        <w:t>Doklady podle čl.</w:t>
      </w:r>
      <w:r w:rsidR="004F49A6">
        <w:t xml:space="preserve"> </w:t>
      </w:r>
      <w:r w:rsidR="007E3473">
        <w:t>6</w:t>
      </w:r>
      <w:r w:rsidR="00D22BAF">
        <w:t>.2</w:t>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35364E">
      <w:pPr>
        <w:pStyle w:val="Nadpis2"/>
      </w:pPr>
      <w:r w:rsidRPr="007E7459">
        <w:t>Stáří</w:t>
      </w:r>
      <w:r w:rsidRPr="00E96351">
        <w:t xml:space="preserve"> </w:t>
      </w:r>
      <w:r w:rsidRPr="007E7459">
        <w:t>dokladů</w:t>
      </w:r>
    </w:p>
    <w:p w14:paraId="3DFAB3D5" w14:textId="34CC84AA" w:rsidR="0028055F" w:rsidRPr="00453B8F" w:rsidRDefault="0028055F" w:rsidP="009F0793">
      <w:pPr>
        <w:rPr>
          <w:b/>
        </w:rPr>
      </w:pPr>
      <w:r>
        <w:t>Doklady prokazující základní způsobilost a profesní způsobilost dle čl.</w:t>
      </w:r>
      <w:r w:rsidR="004F49A6">
        <w:t xml:space="preserve"> </w:t>
      </w:r>
      <w:r w:rsidR="001D4E34">
        <w:t>6</w:t>
      </w:r>
      <w:r w:rsidR="00D22BAF">
        <w:t>.2.1</w:t>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 xml:space="preserve">zahájení </w:t>
      </w:r>
      <w:r w:rsidR="008534BD">
        <w:rPr>
          <w:b/>
        </w:rPr>
        <w:t xml:space="preserve">výběrového </w:t>
      </w:r>
      <w:r w:rsidR="00410622">
        <w:rPr>
          <w:b/>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30878739" w:rsidR="0028055F" w:rsidRPr="009F0793" w:rsidRDefault="0028055F" w:rsidP="0035364E">
      <w:pPr>
        <w:pStyle w:val="Nadpis2"/>
      </w:pPr>
      <w:bookmarkStart w:id="6" w:name="_Ref44326641"/>
      <w:r w:rsidRPr="007E7459">
        <w:t>Ekonomická</w:t>
      </w:r>
      <w:r w:rsidRPr="009F0793">
        <w:t xml:space="preserve"> </w:t>
      </w:r>
      <w:r w:rsidRPr="007E7459">
        <w:t>kvalifikace</w:t>
      </w:r>
      <w:r w:rsidRPr="009F0793">
        <w:t xml:space="preserve"> </w:t>
      </w:r>
      <w:bookmarkEnd w:id="6"/>
    </w:p>
    <w:p w14:paraId="4B522FA1" w14:textId="0BBE1C97" w:rsidR="005E10B3" w:rsidRPr="00490DEF" w:rsidRDefault="0028055F" w:rsidP="009F0793">
      <w:r w:rsidRPr="00244C50">
        <w:t>Zadavatel nepožaduje.</w:t>
      </w:r>
    </w:p>
    <w:p w14:paraId="1B407829" w14:textId="0DCC1373" w:rsidR="0028055F" w:rsidRPr="00E96351" w:rsidRDefault="0028055F" w:rsidP="0035364E">
      <w:pPr>
        <w:pStyle w:val="Nadpis2"/>
      </w:pPr>
      <w:bookmarkStart w:id="7" w:name="_Ref44326675"/>
      <w:r w:rsidRPr="007E7459">
        <w:t>Technická</w:t>
      </w:r>
      <w:r w:rsidRPr="00E96351">
        <w:t xml:space="preserve"> </w:t>
      </w:r>
      <w:r w:rsidRPr="007E7459">
        <w:t>kvalifikace</w:t>
      </w:r>
      <w:r w:rsidRPr="00E96351">
        <w:t xml:space="preserve"> </w:t>
      </w:r>
      <w:bookmarkEnd w:id="7"/>
    </w:p>
    <w:p w14:paraId="461FC928" w14:textId="77777777" w:rsidR="006D237B" w:rsidRPr="00862FA2" w:rsidRDefault="006D237B" w:rsidP="006D237B">
      <w:pPr>
        <w:pStyle w:val="Nadpis3"/>
      </w:pPr>
      <w:r w:rsidRPr="00432FD0">
        <w:t xml:space="preserve">Zadavatel požaduje, aby dodavatel ve své nabídce předložil seznam významných služeb poskytnutých dodavatelem za poslední 3 roky před zahájením výběrového řízení, z něhož bude vyplývat, že v uvedeném období realizoval alespoň </w:t>
      </w:r>
      <w:r w:rsidRPr="000B4FB5">
        <w:rPr>
          <w:b/>
        </w:rPr>
        <w:t>3</w:t>
      </w:r>
      <w:r w:rsidRPr="00432FD0">
        <w:t xml:space="preserve"> významné služby obdobného ch</w:t>
      </w:r>
      <w:r>
        <w:t xml:space="preserve">arakteru, </w:t>
      </w:r>
      <w:r w:rsidRPr="0010167D">
        <w:t xml:space="preserve">přičemž minimální finanční objem těchto </w:t>
      </w:r>
      <w:r>
        <w:t xml:space="preserve">služeb </w:t>
      </w:r>
      <w:r w:rsidRPr="0010167D">
        <w:t xml:space="preserve">musí činit </w:t>
      </w:r>
      <w:r w:rsidRPr="000B4FB5">
        <w:rPr>
          <w:b/>
        </w:rPr>
        <w:t>v součtu alespoň 3 500 000,- Kč bez DPH</w:t>
      </w:r>
      <w:r>
        <w:t xml:space="preserve"> </w:t>
      </w:r>
      <w:r w:rsidRPr="0010167D">
        <w:t xml:space="preserve">s tím, že </w:t>
      </w:r>
      <w:r w:rsidRPr="000B4FB5">
        <w:rPr>
          <w:b/>
        </w:rPr>
        <w:t>alespoň jedna z těchto služeb dosáhla hodnoty minimálně 1 000 000,- Kč bez DPH</w:t>
      </w:r>
      <w:r w:rsidRPr="0010167D">
        <w:t xml:space="preserve">. </w:t>
      </w:r>
      <w:r>
        <w:t xml:space="preserve">Obdobným charakterem se rozumí příprava architektury a implementace databázové platformy </w:t>
      </w:r>
      <w:r>
        <w:lastRenderedPageBreak/>
        <w:t>založené na ExaData Cloud</w:t>
      </w:r>
      <w:r>
        <w:rPr>
          <w:lang w:val="en-US"/>
        </w:rPr>
        <w:t>@</w:t>
      </w:r>
      <w:r>
        <w:t xml:space="preserve">Customer. </w:t>
      </w:r>
      <w:r w:rsidRPr="00862FA2">
        <w:t>Splnění této části kvalifikace dodavatel prokáže formou čestného prohlášení zpracovaného v souladu s</w:t>
      </w:r>
      <w:r>
        <w:t xml:space="preserve"> přílohou</w:t>
      </w:r>
      <w:r w:rsidRPr="00862FA2">
        <w:t xml:space="preserve"> </w:t>
      </w:r>
      <w:r>
        <w:t>č. 1</w:t>
      </w:r>
      <w:r w:rsidRPr="00862FA2">
        <w:t xml:space="preserve"> Kapitoly </w:t>
      </w:r>
      <w:r>
        <w:t>5</w:t>
      </w:r>
      <w:r w:rsidRPr="00862FA2">
        <w:t xml:space="preserve"> přílohy této Výzvy.</w:t>
      </w:r>
    </w:p>
    <w:p w14:paraId="4C74E8D5" w14:textId="1607FBAB" w:rsidR="006D237B" w:rsidRPr="00862FA2" w:rsidRDefault="006D237B" w:rsidP="006D237B">
      <w:pPr>
        <w:pStyle w:val="Nadpis3"/>
      </w:pPr>
      <w:r w:rsidRPr="00862FA2">
        <w:t>Zadavatel požaduje, aby dodavatel ve své nabídce předložil seznam osob, které se budou podílet na plnění předmětu veřejné zakázky, bez ohledu na to, zda se jedná o zaměstnance dodavatele nebo osoby v jiném vztahu k dodavateli (dále též „</w:t>
      </w:r>
      <w:r w:rsidRPr="00983F31">
        <w:rPr>
          <w:b/>
          <w:i/>
        </w:rPr>
        <w:t>realizační tým</w:t>
      </w:r>
      <w:r w:rsidRPr="00862FA2">
        <w:t>“). Zadavatel požaduje, aby dodavatel prokázal splněné této části kvalifikace prostřednictvím níže uvedených osob s níže uvedenými požadavky. Splnění této části kvalifikace dodavatel prokáže formou čestného prohlášení zpracovaného v souladu s</w:t>
      </w:r>
      <w:r>
        <w:t xml:space="preserve"> přílohou</w:t>
      </w:r>
      <w:r w:rsidRPr="00862FA2">
        <w:t> </w:t>
      </w:r>
      <w:r>
        <w:t>č. 1</w:t>
      </w:r>
      <w:r w:rsidRPr="00862FA2">
        <w:t xml:space="preserve"> </w:t>
      </w:r>
      <w:r w:rsidRPr="00D9721B">
        <w:t xml:space="preserve">Kapitoly 6 této Výzvy, jehož přílohou budou </w:t>
      </w:r>
      <w:r w:rsidR="00C51AB9">
        <w:t xml:space="preserve">strukturované profesní </w:t>
      </w:r>
      <w:r w:rsidRPr="00D9721B">
        <w:t>životopisy jednotlivých členů realizačního týmu. Vzor životopisu je uveden</w:t>
      </w:r>
      <w:r w:rsidRPr="00862FA2">
        <w:t xml:space="preserve"> jako </w:t>
      </w:r>
      <w:r>
        <w:t>č. 5</w:t>
      </w:r>
      <w:r w:rsidRPr="00862FA2">
        <w:t xml:space="preserve"> této Výzvy.</w:t>
      </w:r>
    </w:p>
    <w:p w14:paraId="3C152366" w14:textId="77777777" w:rsidR="006D237B" w:rsidRPr="00862FA2" w:rsidRDefault="006D237B" w:rsidP="006D237B">
      <w:pPr>
        <w:pStyle w:val="Nadpis3"/>
        <w:numPr>
          <w:ilvl w:val="0"/>
          <w:numId w:val="0"/>
        </w:numPr>
        <w:ind w:left="720"/>
      </w:pPr>
    </w:p>
    <w:p w14:paraId="11FBC8BD" w14:textId="77777777" w:rsidR="006D237B" w:rsidRPr="00862FA2" w:rsidRDefault="006D237B" w:rsidP="006D237B">
      <w:pPr>
        <w:pStyle w:val="Nadpis3"/>
        <w:numPr>
          <w:ilvl w:val="0"/>
          <w:numId w:val="0"/>
        </w:numPr>
        <w:ind w:left="720"/>
      </w:pPr>
      <w:r w:rsidRPr="00862FA2">
        <w:t xml:space="preserve">Jedna osoba </w:t>
      </w:r>
      <w:r w:rsidRPr="00C26868">
        <w:t>nemůže zastávat více</w:t>
      </w:r>
      <w:r w:rsidRPr="00862FA2">
        <w:t xml:space="preserve"> níže uvedených pozic. Dodavatel musí mít k dispozici realizační tým složený nejméně z</w:t>
      </w:r>
      <w:r>
        <w:t>e</w:t>
      </w:r>
      <w:r w:rsidRPr="00862FA2">
        <w:t xml:space="preserve"> </w:t>
      </w:r>
      <w:r>
        <w:t>4</w:t>
      </w:r>
      <w:r w:rsidRPr="00862FA2">
        <w:t xml:space="preserve"> osob s níže uvedenými požadavky:</w:t>
      </w:r>
    </w:p>
    <w:p w14:paraId="0350B57C" w14:textId="77777777" w:rsidR="006D237B" w:rsidRPr="00B32A45" w:rsidRDefault="006D237B" w:rsidP="006D237B">
      <w:pPr>
        <w:pStyle w:val="Nadpis4"/>
      </w:pPr>
      <w:r w:rsidRPr="00B32A45">
        <w:t>Oracle DB Platform architekt - 1</w:t>
      </w:r>
      <w:r>
        <w:t xml:space="preserve"> osoba</w:t>
      </w:r>
    </w:p>
    <w:p w14:paraId="4A4EF9B6" w14:textId="77777777" w:rsidR="006D237B" w:rsidRPr="009F15BA" w:rsidRDefault="006D237B" w:rsidP="006D237B">
      <w:pPr>
        <w:pStyle w:val="Nadpis5"/>
        <w:numPr>
          <w:ilvl w:val="0"/>
          <w:numId w:val="0"/>
        </w:numPr>
        <w:ind w:left="1872" w:hanging="1008"/>
        <w:rPr>
          <w:b w:val="0"/>
          <w:u w:val="single"/>
        </w:rPr>
      </w:pPr>
      <w:r w:rsidRPr="009F15BA">
        <w:rPr>
          <w:b w:val="0"/>
          <w:u w:val="single"/>
        </w:rPr>
        <w:t>Minimální požadavky:</w:t>
      </w:r>
    </w:p>
    <w:p w14:paraId="52CEA6A4" w14:textId="77777777" w:rsidR="006D237B" w:rsidRDefault="006D237B" w:rsidP="006D237B"/>
    <w:p w14:paraId="762778BA" w14:textId="572A59DF" w:rsidR="006D237B" w:rsidRDefault="006D237B" w:rsidP="006D237B">
      <w:pPr>
        <w:pStyle w:val="Odstavecseseznamem"/>
        <w:numPr>
          <w:ilvl w:val="0"/>
          <w:numId w:val="44"/>
        </w:numPr>
      </w:pPr>
      <w:r>
        <w:t>komunikace v českém jazyce</w:t>
      </w:r>
      <w:r w:rsidR="00A76A64">
        <w:t xml:space="preserve"> </w:t>
      </w:r>
      <w:r w:rsidR="003E10FB">
        <w:t xml:space="preserve">alespoň </w:t>
      </w:r>
      <w:r w:rsidR="00A76A64">
        <w:t>na úrovni B2</w:t>
      </w:r>
    </w:p>
    <w:p w14:paraId="634F78AC" w14:textId="19811BE7" w:rsidR="006D237B" w:rsidRDefault="00C871AB" w:rsidP="006D237B">
      <w:pPr>
        <w:pStyle w:val="Odstavecseseznamem"/>
        <w:numPr>
          <w:ilvl w:val="0"/>
          <w:numId w:val="44"/>
        </w:numPr>
      </w:pPr>
      <w:r>
        <w:t xml:space="preserve">praxe v délce min. 7 let, v jejímž rámci člen realizačního týmu získal </w:t>
      </w:r>
      <w:r w:rsidR="006D237B">
        <w:t>zkušenosti s návrhem architektury a dodávkou služeb na databázové platformě Oracle Exadata a OCI, návrhem a prováděním migrací, upgradů a optimalizací databází Oracle, včetně Oracle Grid Infrastructure, RAC a Data Guard</w:t>
      </w:r>
    </w:p>
    <w:p w14:paraId="7AD5371F" w14:textId="7D211A0D" w:rsidR="006D237B" w:rsidRDefault="006D237B" w:rsidP="006D237B">
      <w:pPr>
        <w:pStyle w:val="Odstavecseseznamem"/>
        <w:numPr>
          <w:ilvl w:val="0"/>
          <w:numId w:val="44"/>
        </w:numPr>
      </w:pPr>
      <w:r>
        <w:t>zkušenosti z min. 5 implementačních projektů databázové platformy Oracle Exadata</w:t>
      </w:r>
      <w:r w:rsidR="00C871AB">
        <w:t xml:space="preserve"> na pozici</w:t>
      </w:r>
      <w:r w:rsidR="002F21CC">
        <w:t>,</w:t>
      </w:r>
      <w:r w:rsidR="00517853">
        <w:t xml:space="preserve"> jejíž pracovní náplň věcně odpovídá pozici</w:t>
      </w:r>
      <w:r w:rsidR="00C871AB">
        <w:t xml:space="preserve"> </w:t>
      </w:r>
      <w:r w:rsidR="002C084D">
        <w:t>Architekt</w:t>
      </w:r>
    </w:p>
    <w:p w14:paraId="60B09BE4" w14:textId="77777777" w:rsidR="006D237B" w:rsidRDefault="006D237B" w:rsidP="006D237B">
      <w:pPr>
        <w:pStyle w:val="Odstavecseseznamem"/>
        <w:numPr>
          <w:ilvl w:val="0"/>
          <w:numId w:val="44"/>
        </w:numPr>
      </w:pPr>
      <w:r>
        <w:t>platné certifikace v uvedené nebo vyšší úrovni:</w:t>
      </w:r>
    </w:p>
    <w:p w14:paraId="72596EF0" w14:textId="77777777" w:rsidR="006D237B" w:rsidRDefault="006D237B" w:rsidP="006D237B">
      <w:pPr>
        <w:pStyle w:val="Odstavecseseznamem"/>
        <w:numPr>
          <w:ilvl w:val="0"/>
          <w:numId w:val="43"/>
        </w:numPr>
      </w:pPr>
      <w:r>
        <w:t>Oracle Database 12c Administrator Certified Master</w:t>
      </w:r>
    </w:p>
    <w:p w14:paraId="6C01E9B7" w14:textId="77777777" w:rsidR="006D237B" w:rsidRDefault="006D237B" w:rsidP="006D237B">
      <w:pPr>
        <w:pStyle w:val="Odstavecseseznamem"/>
        <w:numPr>
          <w:ilvl w:val="0"/>
          <w:numId w:val="43"/>
        </w:numPr>
      </w:pPr>
      <w:r>
        <w:t>Oracle Database 12c Maximum Availability Certified Master</w:t>
      </w:r>
    </w:p>
    <w:p w14:paraId="20700D7D" w14:textId="77777777" w:rsidR="006D237B" w:rsidRDefault="006D237B" w:rsidP="006D237B">
      <w:pPr>
        <w:pStyle w:val="Odstavecseseznamem"/>
        <w:numPr>
          <w:ilvl w:val="0"/>
          <w:numId w:val="43"/>
        </w:numPr>
      </w:pPr>
      <w:r>
        <w:t>Oracle Certified Expert, Oracle Database 12c: Data Guard Administration</w:t>
      </w:r>
    </w:p>
    <w:p w14:paraId="05C23F91" w14:textId="77777777" w:rsidR="006D237B" w:rsidRDefault="006D237B" w:rsidP="006D237B">
      <w:pPr>
        <w:pStyle w:val="Odstavecseseznamem"/>
        <w:numPr>
          <w:ilvl w:val="0"/>
          <w:numId w:val="43"/>
        </w:numPr>
      </w:pPr>
      <w:r>
        <w:t>Oracle Real Application Clusters 12c Certified Implementation Specialist</w:t>
      </w:r>
    </w:p>
    <w:p w14:paraId="080D5846" w14:textId="77777777" w:rsidR="006D237B" w:rsidRPr="00B32A45" w:rsidRDefault="006D237B" w:rsidP="006D237B">
      <w:pPr>
        <w:pStyle w:val="Odstavecseseznamem"/>
        <w:numPr>
          <w:ilvl w:val="0"/>
          <w:numId w:val="43"/>
        </w:numPr>
      </w:pPr>
      <w:r>
        <w:t>Oracle Cloud Infrastructure 2020 Certified Architect Associate</w:t>
      </w:r>
    </w:p>
    <w:p w14:paraId="03002A8F" w14:textId="77777777" w:rsidR="006D237B" w:rsidRPr="00B32A45" w:rsidRDefault="006D237B" w:rsidP="006D237B"/>
    <w:p w14:paraId="386D5B1C" w14:textId="77777777" w:rsidR="006D237B" w:rsidRPr="00B32A45" w:rsidRDefault="006D237B" w:rsidP="006D237B">
      <w:pPr>
        <w:pStyle w:val="Nadpis4"/>
      </w:pPr>
      <w:r w:rsidRPr="00B32A45">
        <w:t xml:space="preserve">Oracle DB konzultant </w:t>
      </w:r>
      <w:r>
        <w:t>–</w:t>
      </w:r>
      <w:r w:rsidRPr="00B32A45">
        <w:t xml:space="preserve"> 2</w:t>
      </w:r>
      <w:r>
        <w:t xml:space="preserve"> osoby</w:t>
      </w:r>
    </w:p>
    <w:p w14:paraId="564D0CA0" w14:textId="77777777" w:rsidR="006D237B" w:rsidRDefault="006D237B" w:rsidP="006D237B">
      <w:pPr>
        <w:pStyle w:val="Nadpis5"/>
        <w:numPr>
          <w:ilvl w:val="0"/>
          <w:numId w:val="0"/>
        </w:numPr>
        <w:ind w:left="864"/>
        <w:rPr>
          <w:b w:val="0"/>
          <w:u w:val="single"/>
        </w:rPr>
      </w:pPr>
      <w:r w:rsidRPr="009F15BA">
        <w:rPr>
          <w:b w:val="0"/>
          <w:u w:val="single"/>
        </w:rPr>
        <w:t>Minimální požadavky:</w:t>
      </w:r>
    </w:p>
    <w:p w14:paraId="64EA4398" w14:textId="77777777" w:rsidR="006D237B" w:rsidRPr="009F15BA" w:rsidRDefault="006D237B" w:rsidP="006D237B"/>
    <w:p w14:paraId="6F76F029" w14:textId="5275FCBD" w:rsidR="006D237B" w:rsidRPr="001878F2" w:rsidRDefault="006D237B" w:rsidP="00C51AB9">
      <w:pPr>
        <w:pStyle w:val="Odstavecseseznamem"/>
        <w:numPr>
          <w:ilvl w:val="0"/>
          <w:numId w:val="44"/>
        </w:numPr>
      </w:pPr>
      <w:r w:rsidRPr="001878F2">
        <w:t>komunikace v českém jazyce</w:t>
      </w:r>
      <w:r w:rsidR="003E10FB" w:rsidRPr="001878F2">
        <w:t xml:space="preserve"> alespoň na úrovni B2 </w:t>
      </w:r>
    </w:p>
    <w:p w14:paraId="40E8388D" w14:textId="79F159FB" w:rsidR="006D237B" w:rsidRPr="001878F2" w:rsidRDefault="00C871AB" w:rsidP="006D237B">
      <w:pPr>
        <w:pStyle w:val="Odstavecseseznamem"/>
        <w:numPr>
          <w:ilvl w:val="0"/>
          <w:numId w:val="45"/>
        </w:numPr>
      </w:pPr>
      <w:r w:rsidRPr="001878F2">
        <w:t xml:space="preserve">praxe v délce min. 5 let, v jejímž rámci člen realizačního týmu získal </w:t>
      </w:r>
      <w:r w:rsidR="006D237B" w:rsidRPr="001878F2">
        <w:t>zkušenosti s dodávkou služeb na databázové platformě Oracle Exadata a OCI, prováděním migrací, upgradů a optimalizací databází Oracle včetně Oracle Grid Infrastructure a Data Guard</w:t>
      </w:r>
    </w:p>
    <w:p w14:paraId="27CE432E" w14:textId="558D3FDD" w:rsidR="006D237B" w:rsidRPr="001878F2" w:rsidRDefault="006D237B" w:rsidP="00517853">
      <w:pPr>
        <w:pStyle w:val="Odstavecseseznamem"/>
        <w:numPr>
          <w:ilvl w:val="0"/>
          <w:numId w:val="45"/>
        </w:numPr>
      </w:pPr>
      <w:r w:rsidRPr="001878F2">
        <w:t>zkušenosti z min. 3 implementačních projektů databázové platformy Oracle Exadata</w:t>
      </w:r>
      <w:r w:rsidR="00C871AB" w:rsidRPr="001878F2">
        <w:t xml:space="preserve"> na pozici</w:t>
      </w:r>
      <w:r w:rsidR="002F21CC" w:rsidRPr="001878F2">
        <w:t>,</w:t>
      </w:r>
      <w:r w:rsidR="00517853" w:rsidRPr="001878F2">
        <w:t xml:space="preserve">jejíž pracovní náplň věcně odpovídá pozici </w:t>
      </w:r>
      <w:r w:rsidR="00517853" w:rsidRPr="001878F2" w:rsidDel="00517853">
        <w:rPr>
          <w:rStyle w:val="Odkaznakoment"/>
        </w:rPr>
        <w:t xml:space="preserve"> </w:t>
      </w:r>
      <w:r w:rsidR="002C084D" w:rsidRPr="001878F2">
        <w:t>Senior konzultant</w:t>
      </w:r>
    </w:p>
    <w:p w14:paraId="2EF3F9E7" w14:textId="77777777" w:rsidR="006D237B" w:rsidRPr="001878F2" w:rsidRDefault="006D237B" w:rsidP="00517853">
      <w:pPr>
        <w:pStyle w:val="Odstavecseseznamem"/>
        <w:numPr>
          <w:ilvl w:val="0"/>
          <w:numId w:val="45"/>
        </w:numPr>
      </w:pPr>
      <w:r w:rsidRPr="001878F2">
        <w:t>minimálně 2 platné certifikace v uvedené nebo vyšší úrovni:</w:t>
      </w:r>
    </w:p>
    <w:p w14:paraId="60C6E39D" w14:textId="77777777" w:rsidR="006D237B" w:rsidRPr="001878F2" w:rsidRDefault="006D237B" w:rsidP="006D237B">
      <w:pPr>
        <w:pStyle w:val="Odstavecseseznamem"/>
        <w:numPr>
          <w:ilvl w:val="0"/>
          <w:numId w:val="46"/>
        </w:numPr>
      </w:pPr>
      <w:r w:rsidRPr="001878F2">
        <w:t>Oracle Database 12c Administrator Certified Professional</w:t>
      </w:r>
    </w:p>
    <w:p w14:paraId="4916EFED" w14:textId="77777777" w:rsidR="006D237B" w:rsidRPr="001878F2" w:rsidRDefault="006D237B" w:rsidP="006D237B">
      <w:pPr>
        <w:pStyle w:val="Odstavecseseznamem"/>
        <w:numPr>
          <w:ilvl w:val="0"/>
          <w:numId w:val="46"/>
        </w:numPr>
      </w:pPr>
      <w:r w:rsidRPr="001878F2">
        <w:t>Oracle Real Application Clusters 12c Certified Implementation Specialist</w:t>
      </w:r>
    </w:p>
    <w:p w14:paraId="0FFF3489" w14:textId="77777777" w:rsidR="006D237B" w:rsidRDefault="006D237B" w:rsidP="006D237B">
      <w:pPr>
        <w:pStyle w:val="Odstavecseseznamem"/>
        <w:numPr>
          <w:ilvl w:val="0"/>
          <w:numId w:val="46"/>
        </w:numPr>
      </w:pPr>
      <w:r w:rsidRPr="001878F2">
        <w:t>Oracle Cloud Infrastructure</w:t>
      </w:r>
      <w:r>
        <w:t xml:space="preserve"> 2020 Certified Architect Associate</w:t>
      </w:r>
    </w:p>
    <w:p w14:paraId="4C8F32A7" w14:textId="77777777" w:rsidR="006D237B" w:rsidRPr="00513C76" w:rsidRDefault="006D237B" w:rsidP="006D237B">
      <w:pPr>
        <w:pStyle w:val="Odstavecseseznamem"/>
        <w:numPr>
          <w:ilvl w:val="0"/>
          <w:numId w:val="46"/>
        </w:numPr>
      </w:pPr>
      <w:r w:rsidRPr="00513C76">
        <w:t>Oracle Database Administration 2019 Certified Professional</w:t>
      </w:r>
    </w:p>
    <w:p w14:paraId="2C970411" w14:textId="77777777" w:rsidR="006D237B" w:rsidRDefault="006D237B" w:rsidP="006D237B">
      <w:pPr>
        <w:pStyle w:val="Nadpis3"/>
        <w:numPr>
          <w:ilvl w:val="0"/>
          <w:numId w:val="0"/>
        </w:numPr>
      </w:pPr>
    </w:p>
    <w:p w14:paraId="3883BA05" w14:textId="77777777" w:rsidR="006D237B" w:rsidRPr="00B32A45" w:rsidRDefault="006D237B" w:rsidP="006D237B">
      <w:pPr>
        <w:pStyle w:val="Nadpis4"/>
      </w:pPr>
      <w:r w:rsidRPr="00365D45">
        <w:t>OCI a Oracle Linux konzultant</w:t>
      </w:r>
      <w:r>
        <w:t xml:space="preserve"> – 1 osoba</w:t>
      </w:r>
    </w:p>
    <w:p w14:paraId="30843459" w14:textId="77777777" w:rsidR="006D237B" w:rsidRDefault="006D237B" w:rsidP="006D237B">
      <w:pPr>
        <w:ind w:left="864"/>
        <w:rPr>
          <w:u w:val="single"/>
        </w:rPr>
      </w:pPr>
      <w:r w:rsidRPr="00D83DBF">
        <w:rPr>
          <w:u w:val="single"/>
        </w:rPr>
        <w:t>Minimální požadavky:</w:t>
      </w:r>
    </w:p>
    <w:p w14:paraId="5AD90EB3" w14:textId="77777777" w:rsidR="006D237B" w:rsidRDefault="006D237B" w:rsidP="006D237B">
      <w:pPr>
        <w:ind w:left="864"/>
        <w:rPr>
          <w:u w:val="single"/>
        </w:rPr>
      </w:pPr>
    </w:p>
    <w:p w14:paraId="64E9AD66" w14:textId="52399639" w:rsidR="006D237B" w:rsidRPr="004B48C3" w:rsidRDefault="006D237B" w:rsidP="00C51AB9">
      <w:pPr>
        <w:pStyle w:val="Odstavecseseznamem"/>
        <w:numPr>
          <w:ilvl w:val="0"/>
          <w:numId w:val="44"/>
        </w:numPr>
      </w:pPr>
      <w:r w:rsidRPr="004B48C3">
        <w:t>komunikace v českém jazyce</w:t>
      </w:r>
      <w:r w:rsidR="003E10FB">
        <w:t xml:space="preserve"> alespoň na úrovni B2</w:t>
      </w:r>
    </w:p>
    <w:p w14:paraId="73AE21A8" w14:textId="38ECFC23" w:rsidR="006D237B" w:rsidRPr="004B48C3" w:rsidRDefault="00C871AB" w:rsidP="006D237B">
      <w:pPr>
        <w:pStyle w:val="Odstavecseseznamem"/>
        <w:numPr>
          <w:ilvl w:val="0"/>
          <w:numId w:val="47"/>
        </w:numPr>
      </w:pPr>
      <w:r>
        <w:t xml:space="preserve">praxe v délce min. 5 let, v jejímž rámci člen realizačního týmu získal </w:t>
      </w:r>
      <w:r w:rsidR="006D237B" w:rsidRPr="004B48C3">
        <w:t>zkušenost</w:t>
      </w:r>
      <w:r>
        <w:t>i</w:t>
      </w:r>
      <w:r w:rsidR="006D237B" w:rsidRPr="004B48C3">
        <w:t xml:space="preserve"> s implementací a administrací databázové platformy Oracle a Linux </w:t>
      </w:r>
    </w:p>
    <w:p w14:paraId="7A4E10AE" w14:textId="76919411" w:rsidR="006D237B" w:rsidRPr="004B48C3" w:rsidRDefault="006D237B" w:rsidP="006D237B">
      <w:pPr>
        <w:pStyle w:val="Odstavecseseznamem"/>
        <w:numPr>
          <w:ilvl w:val="0"/>
          <w:numId w:val="47"/>
        </w:numPr>
      </w:pPr>
      <w:r w:rsidRPr="004B48C3">
        <w:lastRenderedPageBreak/>
        <w:t>zkušenosti z min. 3 implementačních projektů databázové platformy Oracle Exadata</w:t>
      </w:r>
      <w:r w:rsidR="00C871AB">
        <w:t xml:space="preserve"> na pozici</w:t>
      </w:r>
      <w:r w:rsidR="001878F2">
        <w:t>,</w:t>
      </w:r>
      <w:r w:rsidR="00C871AB">
        <w:t xml:space="preserve"> </w:t>
      </w:r>
      <w:r w:rsidR="00517853">
        <w:t xml:space="preserve">jejíž pracovní náplň věcně odpovídá pozici </w:t>
      </w:r>
      <w:r w:rsidR="002C084D">
        <w:t>Senior konzultant</w:t>
      </w:r>
    </w:p>
    <w:p w14:paraId="1FE2DDB9" w14:textId="77777777" w:rsidR="006D237B" w:rsidRPr="004B48C3" w:rsidRDefault="006D237B" w:rsidP="006D237B">
      <w:pPr>
        <w:pStyle w:val="Odstavecseseznamem"/>
        <w:numPr>
          <w:ilvl w:val="0"/>
          <w:numId w:val="47"/>
        </w:numPr>
      </w:pPr>
      <w:r w:rsidRPr="004B48C3">
        <w:t>platná certifikace v uvedené nebo vyšší úrovni:</w:t>
      </w:r>
    </w:p>
    <w:p w14:paraId="5D60B515" w14:textId="77777777" w:rsidR="006D237B" w:rsidRPr="004B48C3" w:rsidRDefault="006D237B" w:rsidP="006D237B">
      <w:pPr>
        <w:pStyle w:val="Odstavecseseznamem"/>
        <w:numPr>
          <w:ilvl w:val="0"/>
          <w:numId w:val="48"/>
        </w:numPr>
      </w:pPr>
      <w:r w:rsidRPr="004B48C3">
        <w:t>Oracle Cloud Infrastructure 2020 Certified Architect Associate</w:t>
      </w:r>
    </w:p>
    <w:p w14:paraId="5F8B4B09" w14:textId="77777777" w:rsidR="003E10FB" w:rsidRDefault="006D237B" w:rsidP="003E10FB">
      <w:pPr>
        <w:pStyle w:val="Odstavecseseznamem"/>
        <w:numPr>
          <w:ilvl w:val="0"/>
          <w:numId w:val="48"/>
        </w:numPr>
      </w:pPr>
      <w:r w:rsidRPr="004B48C3">
        <w:t>Oracle Certified Professional, Oracle Linux 6 System Administrator</w:t>
      </w:r>
    </w:p>
    <w:p w14:paraId="5EEF3B25" w14:textId="77777777" w:rsidR="003E10FB" w:rsidRDefault="003E10FB" w:rsidP="003E10FB">
      <w:pPr>
        <w:pStyle w:val="Odstavecseseznamem"/>
        <w:ind w:left="1776"/>
      </w:pPr>
    </w:p>
    <w:p w14:paraId="1ABCF627" w14:textId="77777777" w:rsidR="003E10FB" w:rsidRDefault="003E10FB" w:rsidP="003E10FB">
      <w:pPr>
        <w:pStyle w:val="Odstavecseseznamem"/>
        <w:ind w:left="1776"/>
      </w:pPr>
    </w:p>
    <w:p w14:paraId="4FAC9A91" w14:textId="4072FAB0" w:rsidR="00C51AB9" w:rsidRDefault="003E10FB" w:rsidP="006B2BB8">
      <w:pPr>
        <w:ind w:left="864"/>
      </w:pPr>
      <w:r>
        <w:t xml:space="preserve">V případě pochybností, zda člen realizačního týmu disponuje jazykovými znalostmi českého jazyka </w:t>
      </w:r>
      <w:r w:rsidR="00C51AB9">
        <w:t xml:space="preserve">alespoň na úrovni B2 </w:t>
      </w:r>
      <w:r>
        <w:t>deklarovanými ve strukturovaném profesním životopise, je Zadavatel oprávněn si vyžádat certifikát o dosaženém jazykovém stupni, který odpovídá Společnému evropskému referenčnímu rámci pro jazyky.</w:t>
      </w:r>
    </w:p>
    <w:p w14:paraId="7BB3FE0D" w14:textId="77777777" w:rsidR="00C51AB9" w:rsidRDefault="00C51AB9" w:rsidP="006B2BB8">
      <w:pPr>
        <w:ind w:left="864"/>
      </w:pPr>
    </w:p>
    <w:p w14:paraId="13431727" w14:textId="77777777" w:rsidR="006D237B" w:rsidRPr="00862FA2" w:rsidRDefault="006D237B" w:rsidP="006D237B">
      <w:pPr>
        <w:pStyle w:val="Nadpis2"/>
      </w:pPr>
      <w:r w:rsidRPr="00862FA2">
        <w:t xml:space="preserve">Jiný způsob prokázání základní a profesní způsobilosti </w:t>
      </w:r>
    </w:p>
    <w:p w14:paraId="0FDBFE66" w14:textId="77777777" w:rsidR="006D237B" w:rsidRPr="00862FA2" w:rsidRDefault="006D237B" w:rsidP="006D237B">
      <w:r w:rsidRPr="00862FA2">
        <w:t xml:space="preserve">Předložením </w:t>
      </w:r>
      <w:r w:rsidRPr="00862FA2">
        <w:rPr>
          <w:b/>
        </w:rPr>
        <w:t>Výpisu ze seznamu kvalifikovaných dodavatelů</w:t>
      </w:r>
      <w:r w:rsidRPr="00862FA2">
        <w:t xml:space="preserve">, který je vydáván Ministerstvem pro místní rozvoj, prokáže dodavatel splnění základní způsobilosti dle čl. </w:t>
      </w:r>
      <w:r>
        <w:t>6.1</w:t>
      </w:r>
      <w:r w:rsidRPr="00862FA2">
        <w:t xml:space="preserve"> této </w:t>
      </w:r>
      <w:r>
        <w:t>V</w:t>
      </w:r>
      <w:r w:rsidRPr="00862FA2">
        <w:t xml:space="preserve">ýzvy a profesní způsobilosti dle čl. </w:t>
      </w:r>
      <w:r>
        <w:t xml:space="preserve">6.2 </w:t>
      </w:r>
      <w:r w:rsidRPr="00862FA2">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t>11</w:t>
      </w:r>
      <w:r w:rsidRPr="00862FA2">
        <w:t xml:space="preserve">),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w:t>
      </w:r>
      <w:r>
        <w:t>ZZVZ</w:t>
      </w:r>
      <w:r w:rsidRPr="00862FA2">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05BB509F" w14:textId="77777777" w:rsidR="006D237B" w:rsidRPr="00862FA2" w:rsidRDefault="006D237B" w:rsidP="006D237B">
      <w:pPr>
        <w:pStyle w:val="Nadpis2"/>
      </w:pPr>
      <w:r w:rsidRPr="00862FA2">
        <w:t>Prokázání kvalifikace prostřednictvím jiných osob</w:t>
      </w:r>
    </w:p>
    <w:p w14:paraId="7E1094C3" w14:textId="77777777" w:rsidR="006D237B" w:rsidRPr="00862FA2" w:rsidRDefault="006D237B" w:rsidP="006D237B">
      <w:r w:rsidRPr="00862FA2">
        <w:t xml:space="preserve">(1) Dodavatel může prokázat určitou část ekonomické kvalifikace, technické kvalifikace nebo profesní způsobilosti s výjimkou kritéria podle čl. </w:t>
      </w:r>
      <w:r>
        <w:t>6.2</w:t>
      </w:r>
      <w:r w:rsidRPr="00862FA2">
        <w:t xml:space="preserve"> této Výzvy požadované zadavatelem prostřednictvím jiných osob. Dodavatel je v takovém případě povinen zadavateli předložit </w:t>
      </w:r>
    </w:p>
    <w:p w14:paraId="5D27F519" w14:textId="77777777" w:rsidR="006D237B" w:rsidRPr="00862FA2" w:rsidRDefault="006D237B" w:rsidP="006D237B">
      <w:pPr>
        <w:ind w:left="502"/>
      </w:pPr>
    </w:p>
    <w:p w14:paraId="60F2AE73" w14:textId="77777777" w:rsidR="006D237B" w:rsidRPr="00862FA2" w:rsidRDefault="006D237B" w:rsidP="006D237B">
      <w:pPr>
        <w:pStyle w:val="Odstavecseseznamem"/>
        <w:numPr>
          <w:ilvl w:val="0"/>
          <w:numId w:val="16"/>
        </w:numPr>
        <w:ind w:left="1276" w:hanging="338"/>
      </w:pPr>
      <w:r w:rsidRPr="00862FA2">
        <w:t xml:space="preserve">doklady prokazující splnění profesní způsobilosti podle čl. </w:t>
      </w:r>
      <w:r>
        <w:t>6.2</w:t>
      </w:r>
      <w:r w:rsidRPr="00862FA2">
        <w:t xml:space="preserve"> této Výzvy jinou osobou, </w:t>
      </w:r>
    </w:p>
    <w:p w14:paraId="591B60F8" w14:textId="77777777" w:rsidR="006D237B" w:rsidRPr="00862FA2" w:rsidRDefault="006D237B" w:rsidP="006D237B">
      <w:pPr>
        <w:pStyle w:val="Odstavecseseznamem"/>
        <w:ind w:left="1276" w:hanging="338"/>
      </w:pPr>
    </w:p>
    <w:p w14:paraId="0A63F937" w14:textId="77777777" w:rsidR="006D237B" w:rsidRPr="00862FA2" w:rsidRDefault="006D237B" w:rsidP="006D237B">
      <w:pPr>
        <w:pStyle w:val="Odstavecseseznamem"/>
        <w:numPr>
          <w:ilvl w:val="0"/>
          <w:numId w:val="16"/>
        </w:numPr>
        <w:ind w:left="1276" w:hanging="338"/>
      </w:pPr>
      <w:r w:rsidRPr="00862FA2">
        <w:t xml:space="preserve">doklady prokazující splnění chybějící části kvalifikace prostřednictvím jiné osoby, </w:t>
      </w:r>
    </w:p>
    <w:p w14:paraId="385C74C5" w14:textId="77777777" w:rsidR="006D237B" w:rsidRPr="00862FA2" w:rsidRDefault="006D237B" w:rsidP="006D237B">
      <w:pPr>
        <w:pStyle w:val="Odstavecseseznamem"/>
        <w:ind w:left="1276" w:hanging="338"/>
      </w:pPr>
    </w:p>
    <w:p w14:paraId="4DF86F79" w14:textId="77777777" w:rsidR="006D237B" w:rsidRPr="00862FA2" w:rsidRDefault="006D237B" w:rsidP="006D237B">
      <w:pPr>
        <w:pStyle w:val="Odstavecseseznamem"/>
        <w:numPr>
          <w:ilvl w:val="0"/>
          <w:numId w:val="16"/>
        </w:numPr>
        <w:ind w:left="1276" w:hanging="338"/>
      </w:pPr>
      <w:r w:rsidRPr="00862FA2">
        <w:t xml:space="preserve">doklad o splnění základní způsobilosti podle čl. </w:t>
      </w:r>
      <w:r>
        <w:t>6.1</w:t>
      </w:r>
      <w:r w:rsidRPr="00862FA2">
        <w:t xml:space="preserve"> této Výzvy jinou osobou a</w:t>
      </w:r>
    </w:p>
    <w:p w14:paraId="4ED960DA" w14:textId="77777777" w:rsidR="006D237B" w:rsidRPr="00862FA2" w:rsidRDefault="006D237B" w:rsidP="006D237B">
      <w:pPr>
        <w:pStyle w:val="Odstavecseseznamem"/>
        <w:ind w:left="1276" w:hanging="338"/>
      </w:pPr>
    </w:p>
    <w:p w14:paraId="04657A9E" w14:textId="77777777" w:rsidR="006D237B" w:rsidRPr="00862FA2" w:rsidRDefault="006D237B" w:rsidP="006D237B">
      <w:pPr>
        <w:pStyle w:val="Odstavecseseznamem"/>
        <w:numPr>
          <w:ilvl w:val="0"/>
          <w:numId w:val="16"/>
        </w:numPr>
        <w:ind w:left="1276" w:hanging="338"/>
      </w:pPr>
      <w:r w:rsidRPr="00862FA2">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41DB6B2" w14:textId="77777777" w:rsidR="006D237B" w:rsidRPr="00862FA2" w:rsidRDefault="006D237B" w:rsidP="006D237B"/>
    <w:p w14:paraId="42F6A674" w14:textId="77777777" w:rsidR="006D237B" w:rsidRPr="00862FA2" w:rsidRDefault="006D237B" w:rsidP="006D237B">
      <w:r w:rsidRPr="00862FA2">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t>6.4</w:t>
      </w:r>
      <w:r w:rsidRPr="00862FA2">
        <w:t xml:space="preserve"> a </w:t>
      </w:r>
      <w:r>
        <w:t>6.5</w:t>
      </w:r>
      <w:r w:rsidRPr="00862FA2">
        <w:t xml:space="preserve"> této Výzvy vztahující se k takové osobě, musí dokument podle odstavce 1 písm. d) obsahovat závazek, že jiná osoba bude vykonávat služby, ke kterým se prokazované kritérium kvalifikace vztahuje.</w:t>
      </w:r>
    </w:p>
    <w:p w14:paraId="0B5C772D" w14:textId="77777777" w:rsidR="006D237B" w:rsidRPr="00862FA2" w:rsidRDefault="006D237B" w:rsidP="006D237B">
      <w:pPr>
        <w:ind w:left="142"/>
      </w:pPr>
    </w:p>
    <w:p w14:paraId="7554B450" w14:textId="77777777" w:rsidR="006D237B" w:rsidRPr="00862FA2" w:rsidRDefault="006D237B" w:rsidP="006D237B">
      <w:r w:rsidRPr="00862FA2">
        <w:lastRenderedPageBreak/>
        <w:t xml:space="preserve">(3) Zadavatel požaduje, aby dodavatel a jiná osoba, jejímž prostřednictvím dodavatel prokazuje ekonomickou kvalifikaci podle čl. </w:t>
      </w:r>
      <w:r>
        <w:t>6.4</w:t>
      </w:r>
      <w:r w:rsidRPr="00862FA2">
        <w:t xml:space="preserve"> této Výzvy, nesli společnou a nerozdílnou odpovědnost za plnění veřejné zakázky.</w:t>
      </w:r>
    </w:p>
    <w:p w14:paraId="4D965F64" w14:textId="77777777" w:rsidR="006D237B" w:rsidRPr="00C16AF3" w:rsidRDefault="006D237B" w:rsidP="006D237B">
      <w:pPr>
        <w:pStyle w:val="Nadpis2"/>
      </w:pPr>
      <w:r w:rsidRPr="00C16AF3">
        <w:t>Dodavatel, který podal nabídku v</w:t>
      </w:r>
      <w:r>
        <w:t>e</w:t>
      </w:r>
      <w:r w:rsidRPr="00C16AF3">
        <w:t xml:space="preserve"> </w:t>
      </w:r>
      <w:r>
        <w:t>výběrovém</w:t>
      </w:r>
      <w:r w:rsidRPr="00C16AF3">
        <w:t xml:space="preserve"> řízení, nesmí být současně osobou, jejímž prostřednictvím jiný dodavatel v tomtéž </w:t>
      </w:r>
      <w:r>
        <w:t>výběrovém</w:t>
      </w:r>
      <w:r w:rsidRPr="00C16AF3">
        <w:t xml:space="preserve"> řízení prokazuje kvalifikaci.</w:t>
      </w:r>
    </w:p>
    <w:p w14:paraId="1CD662C3" w14:textId="77777777" w:rsidR="006D237B" w:rsidRPr="00C16AF3" w:rsidRDefault="006D237B" w:rsidP="006D237B">
      <w:pPr>
        <w:pStyle w:val="Nadpis2"/>
      </w:pPr>
      <w:r w:rsidRPr="00C16AF3">
        <w:t xml:space="preserve">Zadavatel si vyhrazuje právo postupovat analogicky k ustanovení § 48 odst. 5 </w:t>
      </w:r>
      <w:r>
        <w:t>ZZVZ</w:t>
      </w:r>
      <w:r w:rsidRPr="00C16AF3">
        <w:t>.</w:t>
      </w:r>
    </w:p>
    <w:p w14:paraId="61BE20F6" w14:textId="7412FA9E" w:rsidR="0028055F" w:rsidRPr="004F49A6" w:rsidRDefault="0028055F" w:rsidP="00E51863">
      <w:pPr>
        <w:pStyle w:val="Nadpis1"/>
      </w:pPr>
      <w:r w:rsidRPr="004F49A6">
        <w:t>Požadavky zadavatele na zpracování nabídky</w:t>
      </w:r>
    </w:p>
    <w:p w14:paraId="56036D16" w14:textId="51B49BCA" w:rsidR="0028055F" w:rsidRPr="004F49A6" w:rsidRDefault="0028055F" w:rsidP="0035364E">
      <w:pPr>
        <w:pStyle w:val="Nadpis2"/>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00924B8E" w:rsidRPr="00B0389B">
          <w:rPr>
            <w:rStyle w:val="Hypertextovodkaz"/>
          </w:rPr>
          <w:t>https://zakazky.spravazeleznic.cz/manual.html</w:t>
        </w:r>
      </w:hyperlink>
      <w:r w:rsidR="00924B8E">
        <w:t xml:space="preserve"> </w:t>
      </w:r>
      <w:r w:rsidRPr="004F49A6">
        <w:t xml:space="preserve"> </w:t>
      </w:r>
    </w:p>
    <w:p w14:paraId="5C7CB829" w14:textId="6955E8D4" w:rsidR="0028055F" w:rsidRPr="004F49A6" w:rsidRDefault="0028055F" w:rsidP="0035364E">
      <w:pPr>
        <w:pStyle w:val="Nadpis2"/>
      </w:pPr>
      <w:r w:rsidRPr="004F49A6">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35364E">
      <w:pPr>
        <w:pStyle w:val="Nadpis2"/>
      </w:pPr>
      <w:r w:rsidRPr="004F49A6">
        <w:t>Dodavatel je oprávněn podat pouze jednu nabídku.</w:t>
      </w:r>
    </w:p>
    <w:p w14:paraId="4019D2D8" w14:textId="2C944DB3" w:rsidR="0028055F" w:rsidRPr="004F49A6" w:rsidRDefault="0028055F" w:rsidP="0035364E">
      <w:pPr>
        <w:pStyle w:val="Nadpis2"/>
      </w:pPr>
      <w:r w:rsidRPr="004F49A6">
        <w:t>Nabídka musí obsahovat:</w:t>
      </w:r>
    </w:p>
    <w:p w14:paraId="39BA7BB7" w14:textId="1FD1FB50" w:rsidR="0028055F" w:rsidRPr="004F49A6" w:rsidRDefault="0028055F" w:rsidP="004E197A">
      <w:pPr>
        <w:pStyle w:val="Odstavecseseznamem"/>
        <w:numPr>
          <w:ilvl w:val="1"/>
          <w:numId w:val="17"/>
        </w:numPr>
        <w:ind w:left="1276"/>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64B00151"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D22BAF">
        <w:t>č. 3</w:t>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D22BAF">
        <w:t>č. 3</w:t>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18E9E854" w:rsidR="000553D1" w:rsidRPr="00726CF4" w:rsidRDefault="000553D1" w:rsidP="000C4ACD">
      <w:pPr>
        <w:pStyle w:val="Odstavecseseznamem"/>
        <w:numPr>
          <w:ilvl w:val="1"/>
          <w:numId w:val="17"/>
        </w:numPr>
        <w:ind w:left="1276"/>
      </w:pPr>
      <w:r w:rsidRPr="00726CF4">
        <w:t xml:space="preserve">čestné prohlášení ve vztahu k zakázaným dohodám -  účastník je povinen přiložit ke své nabídce čestné prohlášení o tom, že v souvislosti s </w:t>
      </w:r>
      <w:r w:rsidR="008534BD" w:rsidRPr="005A6B27">
        <w:t xml:space="preserve">výběrovým </w:t>
      </w:r>
      <w:r w:rsidRPr="005A6B27">
        <w:t xml:space="preserve">řízením </w:t>
      </w:r>
      <w:r w:rsidR="006F46EB" w:rsidRPr="005A6B27">
        <w:t>na předmětnou veřejnou zakázku</w:t>
      </w:r>
      <w:r w:rsidR="005A6B27" w:rsidRPr="005A6B27">
        <w:t xml:space="preserve"> </w:t>
      </w:r>
      <w:r w:rsidRPr="005A6B27">
        <w:t>neuzavřel a neuzavře s jiným</w:t>
      </w:r>
      <w:r w:rsidRPr="004F49A6">
        <w:t>i osobami zakázanou dohodu ve smyslu zákona č. 143/2001 Sb., o ochraně hospodářské soutěže a o změně některých zá</w:t>
      </w:r>
      <w:r w:rsidRPr="00726CF4">
        <w:t>konů (zákon o ochraně hospodářské soutěže), ve znění pozdějších předpisů. Toto bude předloženo ve formě formuláře obsaženého v</w:t>
      </w:r>
      <w:r w:rsidR="00EA21B9">
        <w:t xml:space="preserve"> příloze</w:t>
      </w:r>
      <w:r w:rsidRPr="00726CF4">
        <w:t xml:space="preserve"> </w:t>
      </w:r>
      <w:r w:rsidR="00D22BAF">
        <w:t>č. 1</w:t>
      </w:r>
      <w:r w:rsidR="00630556" w:rsidRPr="004F49A6">
        <w:t xml:space="preserve"> Kapitole </w:t>
      </w:r>
      <w:r w:rsidR="003569A6">
        <w:t>4</w:t>
      </w:r>
      <w:r w:rsidR="003569A6" w:rsidRPr="004F49A6">
        <w:t xml:space="preserve"> </w:t>
      </w:r>
      <w:r w:rsidR="00630556" w:rsidRPr="004F49A6">
        <w:t xml:space="preserve">přílohy </w:t>
      </w:r>
      <w:r w:rsidRPr="00726CF4">
        <w:t>této Výzvy.</w:t>
      </w:r>
    </w:p>
    <w:p w14:paraId="5C7A9657" w14:textId="67F0B2D3" w:rsidR="00B60BA6" w:rsidRDefault="00B60BA6" w:rsidP="0035364E">
      <w:pPr>
        <w:pStyle w:val="Nadpis2"/>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nepovažuje se za podanou a v průběhu </w:t>
      </w:r>
      <w:r w:rsidR="008534BD">
        <w:t>výběrového</w:t>
      </w:r>
      <w:r w:rsidR="008534BD" w:rsidRPr="004471FA">
        <w:t xml:space="preserve"> </w:t>
      </w:r>
      <w:r w:rsidRPr="004471FA">
        <w:t>řízení se k ní nepřihlíží</w:t>
      </w:r>
      <w:r>
        <w:t>.</w:t>
      </w:r>
    </w:p>
    <w:p w14:paraId="44D7E88C" w14:textId="0127B590" w:rsidR="00630556" w:rsidRPr="004F49A6" w:rsidRDefault="00630556" w:rsidP="0035364E">
      <w:pPr>
        <w:pStyle w:val="Nadpis2"/>
      </w:pPr>
      <w:r w:rsidRPr="00726CF4">
        <w:t>Zadavatel doporučuje a preferuje, aby nabídka byla podána za využití krycího listu uvedeného v</w:t>
      </w:r>
      <w:r w:rsidR="00EA21B9">
        <w:t xml:space="preserve"> příloze</w:t>
      </w:r>
      <w:r w:rsidRPr="00726CF4">
        <w:t> </w:t>
      </w:r>
      <w:r w:rsidR="00D22BAF">
        <w:t>č. 1</w:t>
      </w:r>
      <w:r w:rsidRPr="004F49A6">
        <w:t xml:space="preserve">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w:t>
      </w:r>
      <w:r w:rsidR="00EA21B9">
        <w:t xml:space="preserve"> přílohy</w:t>
      </w:r>
      <w:r w:rsidRPr="004F49A6">
        <w:t xml:space="preserve"> </w:t>
      </w:r>
      <w:r w:rsidR="00D22BAF">
        <w:t>č. 1</w:t>
      </w:r>
      <w:r w:rsidRPr="004F49A6">
        <w:t xml:space="preserve">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35364E">
      <w:pPr>
        <w:pStyle w:val="Nadpis2"/>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7E2084">
        <w:rPr>
          <w:b/>
          <w:i/>
        </w:rPr>
        <w:t>ZRS</w:t>
      </w:r>
      <w:r w:rsidRPr="004F49A6">
        <w:t xml:space="preserve">“). </w:t>
      </w:r>
    </w:p>
    <w:p w14:paraId="04439C61" w14:textId="5DBE2239" w:rsidR="0028055F" w:rsidRPr="004F49A6" w:rsidRDefault="0028055F" w:rsidP="0035364E">
      <w:pPr>
        <w:pStyle w:val="Nadpis2"/>
      </w:pPr>
      <w:bookmarkStart w:id="8" w:name="_Ref44326714"/>
      <w:r w:rsidRPr="004F49A6">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w:t>
      </w:r>
      <w:r w:rsidRPr="004F49A6">
        <w:lastRenderedPageBreak/>
        <w:t>obsaženy informace, které nemohou být v registru smluv uveřejněny na základě ustanovení § 3 odst. 1 ZRS.</w:t>
      </w:r>
      <w:bookmarkEnd w:id="8"/>
      <w:r w:rsidRPr="004F49A6">
        <w:t xml:space="preserve"> </w:t>
      </w:r>
    </w:p>
    <w:p w14:paraId="30D2E45F" w14:textId="6D13967B" w:rsidR="0028055F" w:rsidRPr="00726CF4" w:rsidRDefault="00645D60" w:rsidP="0035364E">
      <w:pPr>
        <w:pStyle w:val="Nadpis2"/>
      </w:pPr>
      <w:bookmarkStart w:id="9" w:name="_Ref44326735"/>
      <w:r w:rsidRPr="004F49A6">
        <w:t xml:space="preserve">Pokud účastník ve smlouvě, která bude nedílnou součástí nabídky, označí její části nebo určité informace dle čl. </w:t>
      </w:r>
      <w:r w:rsidR="000A1480">
        <w:t>8</w:t>
      </w:r>
      <w:r w:rsidR="00D22BAF">
        <w:t>.2</w:t>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00EA21B9">
        <w:t xml:space="preserve"> příloha</w:t>
      </w:r>
      <w:r w:rsidRPr="004471FA">
        <w:t> </w:t>
      </w:r>
      <w:r w:rsidR="00D22BAF">
        <w:t xml:space="preserve">č. </w:t>
      </w:r>
      <w:r w:rsidR="00683565">
        <w:t>3</w:t>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w:t>
      </w:r>
      <w:r w:rsidR="0028055F" w:rsidRPr="007E2084">
        <w:rPr>
          <w:b/>
          <w:i/>
        </w:rPr>
        <w:t>obchodní tajemství</w:t>
      </w:r>
      <w:r w:rsidR="0028055F" w:rsidRPr="00726CF4">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3B514B91" w:rsidR="0028055F" w:rsidRDefault="0028055F" w:rsidP="0035364E">
      <w:pPr>
        <w:pStyle w:val="Nadpis2"/>
      </w:pPr>
      <w:r w:rsidRPr="000C487C">
        <w:t xml:space="preserve">Výše uvedené čestné prohlášení dle čl. </w:t>
      </w:r>
      <w:r w:rsidR="00776209">
        <w:t>8</w:t>
      </w:r>
      <w:r w:rsidR="00D22BAF">
        <w:t>.3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776209">
        <w:t>8</w:t>
      </w:r>
      <w:r w:rsidR="00D22BAF">
        <w:t>.2</w:t>
      </w:r>
      <w:r w:rsidR="000C4ACD">
        <w:t xml:space="preserve"> </w:t>
      </w:r>
      <w:r w:rsidRPr="000C487C">
        <w:t>této Výzvy.</w:t>
      </w:r>
    </w:p>
    <w:p w14:paraId="18D161E7" w14:textId="7A12136B" w:rsidR="0028055F" w:rsidRPr="006874DC" w:rsidRDefault="0028055F" w:rsidP="0035364E">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35364E">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2850711E" w:rsidR="0028055F" w:rsidRDefault="0028055F" w:rsidP="0035364E">
      <w:pPr>
        <w:pStyle w:val="Nadpis2"/>
      </w:pPr>
      <w:r>
        <w:t xml:space="preserve">Zadavatel požaduje, aby účastník </w:t>
      </w:r>
      <w:r w:rsidR="008534BD">
        <w:t xml:space="preserve">výběrového </w:t>
      </w:r>
      <w:r>
        <w:t>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311066B6" w:rsidR="006874DC" w:rsidRDefault="0028055F" w:rsidP="00E51863">
      <w:pPr>
        <w:pStyle w:val="Odstavecseseznamem"/>
      </w:pPr>
      <w:r>
        <w:t xml:space="preserve">b) 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7029CC84" w14:textId="0584AA8A" w:rsidR="0068779C" w:rsidRPr="0011722C" w:rsidRDefault="0068779C" w:rsidP="0068779C">
      <w:pPr>
        <w:pStyle w:val="Nadpis2"/>
        <w:rPr>
          <w:b/>
        </w:rPr>
      </w:pPr>
      <w:bookmarkStart w:id="10" w:name="_Ref44326562"/>
      <w:r w:rsidRPr="0011722C">
        <w:t xml:space="preserve">Zadavatel požaduje, aby účastník uvedl cenu </w:t>
      </w:r>
      <w:r w:rsidR="00896235" w:rsidRPr="0011722C">
        <w:t>za I. – III. fázi plnění předmětu této veřejné zakázky (paušální část)</w:t>
      </w:r>
      <w:r w:rsidRPr="0011722C">
        <w:t xml:space="preserve">, v české měně (Koruna česká), v členění </w:t>
      </w:r>
      <w:r w:rsidRPr="0011722C">
        <w:rPr>
          <w:b/>
        </w:rPr>
        <w:t>bez daně z přidané hodnoty (DPH), samostatně příslušná výše DPH a včetně DPH</w:t>
      </w:r>
      <w:r w:rsidR="003F6031" w:rsidRPr="0011722C">
        <w:rPr>
          <w:b/>
        </w:rPr>
        <w:t xml:space="preserve"> </w:t>
      </w:r>
      <w:r w:rsidR="003F6031" w:rsidRPr="0011722C">
        <w:t>a poté</w:t>
      </w:r>
      <w:r w:rsidR="003F6031" w:rsidRPr="0011722C">
        <w:rPr>
          <w:b/>
        </w:rPr>
        <w:t xml:space="preserve"> </w:t>
      </w:r>
      <w:r w:rsidR="003F6031" w:rsidRPr="0011722C">
        <w:t xml:space="preserve">ceny I. – III. fáze </w:t>
      </w:r>
      <w:r w:rsidR="003F6031" w:rsidRPr="00E60A4E">
        <w:t>sečetl</w:t>
      </w:r>
      <w:r w:rsidR="00896235" w:rsidRPr="00E60A4E">
        <w:t>.</w:t>
      </w:r>
      <w:r w:rsidR="00896235" w:rsidRPr="0011722C">
        <w:rPr>
          <w:b/>
        </w:rPr>
        <w:t xml:space="preserve"> </w:t>
      </w:r>
    </w:p>
    <w:p w14:paraId="51B4FE5A" w14:textId="6AD09CC5" w:rsidR="00896235" w:rsidRDefault="00896235" w:rsidP="00896235">
      <w:pPr>
        <w:pStyle w:val="Nadpis4"/>
        <w:numPr>
          <w:ilvl w:val="1"/>
          <w:numId w:val="18"/>
        </w:numPr>
      </w:pPr>
      <w:r w:rsidRPr="00A77EA0">
        <w:rPr>
          <w:b w:val="0"/>
        </w:rPr>
        <w:t xml:space="preserve">Zadavatel rovněž požaduje, aby účastník uvedl cenu za 1 </w:t>
      </w:r>
      <w:r>
        <w:rPr>
          <w:b w:val="0"/>
        </w:rPr>
        <w:t>člověkoden (MD)</w:t>
      </w:r>
      <w:r w:rsidRPr="00A77EA0">
        <w:rPr>
          <w:b w:val="0"/>
        </w:rPr>
        <w:t xml:space="preserve"> </w:t>
      </w:r>
      <w:r>
        <w:rPr>
          <w:b w:val="0"/>
        </w:rPr>
        <w:t xml:space="preserve">každého člena realizačního týmu (rámcová část), </w:t>
      </w:r>
      <w:r w:rsidRPr="00A77EA0">
        <w:rPr>
          <w:b w:val="0"/>
        </w:rPr>
        <w:t>v české měně (Koruna česká), v členění</w:t>
      </w:r>
      <w:r w:rsidRPr="00A77EA0">
        <w:t xml:space="preserve"> bez daně z přidané hodnoty (DPH), samostatně příslušná výše DPH a včetně DPH</w:t>
      </w:r>
      <w:r w:rsidR="003F6031">
        <w:t xml:space="preserve">, </w:t>
      </w:r>
      <w:r w:rsidR="003F6031">
        <w:rPr>
          <w:b w:val="0"/>
        </w:rPr>
        <w:t>kter</w:t>
      </w:r>
      <w:r w:rsidR="00C51AB9">
        <w:rPr>
          <w:b w:val="0"/>
        </w:rPr>
        <w:t>ou</w:t>
      </w:r>
      <w:r w:rsidR="003F6031">
        <w:rPr>
          <w:b w:val="0"/>
        </w:rPr>
        <w:t xml:space="preserve"> poté </w:t>
      </w:r>
      <w:r w:rsidR="006829CD">
        <w:rPr>
          <w:b w:val="0"/>
        </w:rPr>
        <w:t xml:space="preserve">u každého člena realizačního týmu </w:t>
      </w:r>
      <w:r w:rsidR="003F6031">
        <w:rPr>
          <w:b w:val="0"/>
        </w:rPr>
        <w:t xml:space="preserve">vynásobí předpokládaným množstvím člověkodnů (MD) a poté ceny </w:t>
      </w:r>
      <w:r w:rsidR="006829CD">
        <w:rPr>
          <w:b w:val="0"/>
        </w:rPr>
        <w:t xml:space="preserve">člověkodnů za celou dobu plnění </w:t>
      </w:r>
      <w:r w:rsidR="003F6031">
        <w:rPr>
          <w:b w:val="0"/>
        </w:rPr>
        <w:t xml:space="preserve">všech členů realizačního týmu </w:t>
      </w:r>
      <w:r w:rsidR="003F6031" w:rsidRPr="008B741C">
        <w:rPr>
          <w:b w:val="0"/>
        </w:rPr>
        <w:t>sečetl</w:t>
      </w:r>
      <w:r w:rsidRPr="008B741C">
        <w:rPr>
          <w:b w:val="0"/>
        </w:rPr>
        <w:t>.</w:t>
      </w:r>
    </w:p>
    <w:p w14:paraId="1978F931" w14:textId="3031EAAE" w:rsidR="00896235" w:rsidRPr="0011722C" w:rsidRDefault="00896235" w:rsidP="00896235">
      <w:pPr>
        <w:pStyle w:val="Nadpis4"/>
        <w:numPr>
          <w:ilvl w:val="1"/>
          <w:numId w:val="18"/>
        </w:numPr>
        <w:rPr>
          <w:b w:val="0"/>
        </w:rPr>
      </w:pPr>
      <w:r>
        <w:rPr>
          <w:b w:val="0"/>
        </w:rPr>
        <w:t xml:space="preserve">Zadavatel sečte cenu za paušální část </w:t>
      </w:r>
      <w:r w:rsidR="003F6031">
        <w:rPr>
          <w:b w:val="0"/>
        </w:rPr>
        <w:t xml:space="preserve">uvedenou v čl. 10.1 této Výzvy </w:t>
      </w:r>
      <w:r>
        <w:rPr>
          <w:b w:val="0"/>
        </w:rPr>
        <w:t xml:space="preserve">a </w:t>
      </w:r>
      <w:r w:rsidR="003F6031">
        <w:rPr>
          <w:b w:val="0"/>
        </w:rPr>
        <w:t xml:space="preserve">cenu za </w:t>
      </w:r>
      <w:r>
        <w:rPr>
          <w:b w:val="0"/>
        </w:rPr>
        <w:t xml:space="preserve">rámcovou část </w:t>
      </w:r>
      <w:r w:rsidR="003F6031">
        <w:rPr>
          <w:b w:val="0"/>
        </w:rPr>
        <w:t xml:space="preserve">uvedenou v čl. 10.2 této Výzvy </w:t>
      </w:r>
      <w:r>
        <w:rPr>
          <w:b w:val="0"/>
        </w:rPr>
        <w:t>a získá tím celkovou nabídkovou cenu.</w:t>
      </w:r>
      <w:r w:rsidR="0094163E">
        <w:rPr>
          <w:b w:val="0"/>
        </w:rPr>
        <w:t xml:space="preserve"> Celková cena bude sloužit jen pro účely hodnocení.</w:t>
      </w:r>
    </w:p>
    <w:p w14:paraId="6FD8EC74" w14:textId="77777777" w:rsidR="0068779C" w:rsidRPr="00ED18E8" w:rsidRDefault="0068779C" w:rsidP="0068779C">
      <w:pPr>
        <w:pStyle w:val="Nadpis2"/>
      </w:pPr>
      <w:r w:rsidRPr="00ED18E8">
        <w:t>Za účelem výpočtu celkové nabídkové ceny v Kč bez DPH bude účastníkem vyplněna příloha č. 6 této Výzvy. Za správnost provedení výpočtu celkové nabídkové ceny odpovídá účastník.</w:t>
      </w:r>
    </w:p>
    <w:p w14:paraId="6FF42190" w14:textId="77777777" w:rsidR="0068779C" w:rsidRPr="00862FA2" w:rsidRDefault="0068779C" w:rsidP="0068779C">
      <w:pPr>
        <w:pStyle w:val="Nadpis2"/>
      </w:pPr>
      <w:r w:rsidRPr="00862FA2">
        <w:lastRenderedPageBreak/>
        <w:t>Nabídková cena musí být v nabídce účastníkem garantována jako cena maximální a nepřekročitelná, konečná, zahrnující veškeré náklady účastníka spojené s plněním předmětu této veřejné zakázky.</w:t>
      </w:r>
    </w:p>
    <w:p w14:paraId="03B8823C" w14:textId="77777777" w:rsidR="0068779C" w:rsidRPr="00862FA2" w:rsidRDefault="0068779C" w:rsidP="0068779C">
      <w:pPr>
        <w:pStyle w:val="Nadpis2"/>
      </w:pPr>
      <w:r w:rsidRPr="00862FA2">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490FC63B" w:rsidR="0028055F" w:rsidRDefault="0028055F" w:rsidP="00E51863">
      <w:pPr>
        <w:pStyle w:val="Nadpis1"/>
      </w:pPr>
      <w:r>
        <w:t>Lhůta a místo pro podání nabídky</w:t>
      </w:r>
      <w:bookmarkEnd w:id="10"/>
    </w:p>
    <w:p w14:paraId="5FCCA1EE" w14:textId="6BF158CB" w:rsidR="0028055F" w:rsidRPr="001E28A5" w:rsidRDefault="0028055F" w:rsidP="0035364E">
      <w:pPr>
        <w:pStyle w:val="Nadpis2"/>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35364E">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35364E">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2428D9C5" w:rsidR="0028055F" w:rsidRPr="001E28A5" w:rsidRDefault="0028055F" w:rsidP="0035364E">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004D7C67" w:rsidRPr="00B0389B">
          <w:rPr>
            <w:rStyle w:val="Hypertextovodkaz"/>
          </w:rPr>
          <w:t>https://zakazky.spravazeleznic.cz/</w:t>
        </w:r>
      </w:hyperlink>
      <w:r w:rsidR="004D7C67">
        <w:t xml:space="preserve"> </w:t>
      </w:r>
    </w:p>
    <w:p w14:paraId="0DD76248" w14:textId="4F0412D4" w:rsidR="0028055F" w:rsidRPr="005127DF" w:rsidRDefault="001C196B" w:rsidP="0035364E">
      <w:pPr>
        <w:pStyle w:val="Nadpis2"/>
      </w:pPr>
      <w:bookmarkStart w:id="11"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1"/>
    </w:p>
    <w:p w14:paraId="1AE22C2A" w14:textId="27924BB7" w:rsidR="0028055F" w:rsidRPr="009D78C0" w:rsidRDefault="0028055F" w:rsidP="0035364E">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0004DAB4" w:rsidR="000553D1" w:rsidRDefault="000553D1" w:rsidP="0035364E">
      <w:pPr>
        <w:pStyle w:val="Nadpis2"/>
      </w:pPr>
      <w:bookmarkStart w:id="12"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31742D8B" w:rsidR="0028055F" w:rsidRDefault="000553D1" w:rsidP="0035364E">
      <w:pPr>
        <w:pStyle w:val="Nadpis2"/>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00985BFC" w:rsidRPr="00B0389B">
          <w:rPr>
            <w:rStyle w:val="Hypertextovodkaz"/>
          </w:rPr>
          <w:t>https://zakazky.spravazeleznic.cz/</w:t>
        </w:r>
      </w:hyperlink>
      <w:r w:rsidRPr="000553D1">
        <w:t>.</w:t>
      </w:r>
      <w:r w:rsidR="00985BFC">
        <w:t xml:space="preserve"> </w:t>
      </w:r>
      <w:r w:rsidRPr="000553D1">
        <w:t xml:space="preserve">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D22BAF">
        <w:t>1</w:t>
      </w:r>
      <w:r w:rsidR="00B73EA6">
        <w:t>1</w:t>
      </w:r>
      <w:r w:rsidR="00D22BAF">
        <w:t>.5</w:t>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35364E">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35364E">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lastRenderedPageBreak/>
        <w:t>Změna Výzvy</w:t>
      </w:r>
    </w:p>
    <w:p w14:paraId="04AEE117" w14:textId="4D1CDB87" w:rsidR="000553D1" w:rsidRPr="000553D1" w:rsidRDefault="000553D1" w:rsidP="0035364E">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35364E">
      <w:pPr>
        <w:pStyle w:val="Nadpis2"/>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82BB58C" w14:textId="53988C8F" w:rsidR="00C80871" w:rsidRDefault="00C80871" w:rsidP="00C80871">
      <w:pPr>
        <w:pStyle w:val="Nadpis2"/>
      </w:pPr>
      <w:r w:rsidRPr="00862FA2">
        <w:t xml:space="preserve">Hodnotícím kritériem pro výběr nejvýhodnější nabídky v rámci ekonomické výhodnosti nabídek je nejnižší </w:t>
      </w:r>
      <w:r w:rsidR="006B2BB8">
        <w:t xml:space="preserve">celková </w:t>
      </w:r>
      <w:r w:rsidRPr="0032458B">
        <w:t>nabídková cena v</w:t>
      </w:r>
      <w:r>
        <w:t xml:space="preserve"> Kč bez DPH za celý předmět veřejné zakázky</w:t>
      </w:r>
      <w:r w:rsidR="006B2BB8">
        <w:t xml:space="preserve"> ve smyslu čl. 10.3 této Výzvy</w:t>
      </w:r>
      <w:r>
        <w:t>.</w:t>
      </w:r>
    </w:p>
    <w:p w14:paraId="5FE081FE" w14:textId="77777777" w:rsidR="00C80871" w:rsidRPr="00467B86" w:rsidRDefault="00C80871" w:rsidP="00C80871">
      <w:pPr>
        <w:pStyle w:val="Nadpis2"/>
      </w:pPr>
      <w:r w:rsidRPr="00467B86">
        <w:t>V případě, že je více nabídek se shodným celkovým parametrem hodnotícího kritéria, rozhodne o pořadí nabídky čas podání těchto nabídek dle článku 11 této Výzvy, přičemž platí, že lépe se umístila ta nabídka, která byla podána dříve.</w:t>
      </w:r>
    </w:p>
    <w:p w14:paraId="7DED8A58" w14:textId="4F187304" w:rsidR="00895982" w:rsidRDefault="00895982" w:rsidP="00895982">
      <w:pPr>
        <w:pStyle w:val="Nadpis1"/>
      </w:pPr>
      <w:bookmarkStart w:id="13" w:name="_Ref97547911"/>
      <w:r w:rsidRPr="00895982">
        <w:t>Střet zájmů dle zákona č. 159/2006 Sb., o střetu zájmů, ve znění pozdějších předpisů</w:t>
      </w:r>
      <w:bookmarkEnd w:id="13"/>
    </w:p>
    <w:p w14:paraId="780149E0" w14:textId="1CEE4C6E" w:rsidR="00895982" w:rsidRDefault="00895982" w:rsidP="0035364E">
      <w:pPr>
        <w:pStyle w:val="Nadpis2"/>
      </w:pPr>
      <w:r w:rsidRPr="00895982">
        <w:t>Dle § 4b zákona č. 159/2006 Sb., o střetu zájmů, ve znění pozdějších předpisů (dále jen „</w:t>
      </w:r>
      <w:r w:rsidRPr="007E2084">
        <w:rPr>
          <w:b/>
          <w:i/>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41777428" w:rsidR="00895982" w:rsidRDefault="00895982" w:rsidP="0035364E">
      <w:pPr>
        <w:pStyle w:val="Nadpis2"/>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EA21B9">
        <w:t xml:space="preserve"> příloze</w:t>
      </w:r>
      <w:r w:rsidR="00AB6FAD">
        <w:t> </w:t>
      </w:r>
      <w:r w:rsidR="00D22BAF">
        <w:t>č. 1</w:t>
      </w:r>
      <w:r w:rsidR="00AB6FAD">
        <w:t xml:space="preserve"> </w:t>
      </w:r>
      <w:r w:rsidR="003569A6">
        <w:t>Kapitole 3</w:t>
      </w:r>
      <w:r w:rsidR="00AB6FAD">
        <w:t xml:space="preserve"> </w:t>
      </w:r>
      <w:r w:rsidR="00392FB1">
        <w:t>této Výzvy</w:t>
      </w:r>
      <w:r w:rsidR="000507D3">
        <w:t>,</w:t>
      </w:r>
      <w:r w:rsidRPr="00895982">
        <w:t xml:space="preserve"> v</w:t>
      </w:r>
      <w:r w:rsidR="000507D3">
        <w:t>e své nabídce</w:t>
      </w:r>
      <w:r w:rsidRPr="00895982">
        <w:t>.</w:t>
      </w:r>
    </w:p>
    <w:p w14:paraId="69CA0AA6" w14:textId="77777777" w:rsidR="00533D29" w:rsidRPr="00533D29" w:rsidRDefault="00533D29" w:rsidP="0035364E">
      <w:pPr>
        <w:pStyle w:val="Nadpis2"/>
      </w:pPr>
      <w:bookmarkStart w:id="14" w:name="_Ref97541545"/>
      <w:r w:rsidRPr="00533D29">
        <w:t>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5 ZZVZ, a to i ve vztahu k příslušnému poddodavateli, prostřednictvím kterého vybraný dodavatel prokazoval část kvalifikace.</w:t>
      </w:r>
    </w:p>
    <w:bookmarkEnd w:id="14"/>
    <w:p w14:paraId="76EE5444" w14:textId="2FAC3780" w:rsidR="00895982" w:rsidRPr="00895982" w:rsidRDefault="00895982" w:rsidP="0035364E">
      <w:pPr>
        <w:pStyle w:val="Nadpis2"/>
      </w:pPr>
      <w:r w:rsidRPr="00895982">
        <w:t xml:space="preserve">V případě postupu účastníka v rozporu s čl. </w:t>
      </w:r>
      <w:r w:rsidR="00D22BAF">
        <w:t>1</w:t>
      </w:r>
      <w:r w:rsidR="00D32EA9">
        <w:t>5</w:t>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2C1C4DC6" w14:textId="4BD0045D" w:rsidR="00E53730" w:rsidRDefault="00E53730" w:rsidP="00E51863">
      <w:pPr>
        <w:pStyle w:val="Nadpis1"/>
      </w:pPr>
      <w:bookmarkStart w:id="15" w:name="_Ref102744863"/>
      <w:r>
        <w:t>Další zadávací podmínky v návaznosti na sankce proti Rusku a Bělorusku v souvislosti se situací na Ukrajině</w:t>
      </w:r>
      <w:bookmarkEnd w:id="15"/>
    </w:p>
    <w:p w14:paraId="6B2DDA7B" w14:textId="2161969D" w:rsidR="00E53730" w:rsidRDefault="00E53730" w:rsidP="0035364E">
      <w:pPr>
        <w:pStyle w:val="Nadpis2"/>
      </w:pPr>
      <w:r>
        <w:t>Dle článku 5k nařízení Rady (EU) č. 833/2014 ze dne 31. července 2014 o omezujících opatřeních vzhledem k činnostem Ruska destabilizujícím situaci na Ukrajině, ve znění pozdějších předpi</w:t>
      </w:r>
      <w:r w:rsidR="00331B97">
        <w:t>sů</w:t>
      </w:r>
      <w:r w:rsidR="00331B97">
        <w:rPr>
          <w:rStyle w:val="Znakapoznpodarou"/>
        </w:rPr>
        <w:footnoteReference w:id="1"/>
      </w:r>
      <w:r>
        <w:t xml:space="preserve"> (dále jen „</w:t>
      </w:r>
      <w:r w:rsidRPr="00D22BAF">
        <w:rPr>
          <w:b/>
          <w:i/>
        </w:rPr>
        <w:t>Nařízení č. 833/2014</w:t>
      </w:r>
      <w:r>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w:t>
      </w:r>
      <w:r>
        <w:lastRenderedPageBreak/>
        <w:t>b) až f) a písm. h) až j) směrnice 2014/24/EU, článku 18, čl. 21 písm. b) až e) a písm. g až i), článků 29 a 30 směrnice 2014/25/EU a čl. 13 písm. a) až d), f) až h) a j) směrnice 2009/81/EC:</w:t>
      </w:r>
    </w:p>
    <w:p w14:paraId="59239E56" w14:textId="77777777" w:rsidR="00E53730" w:rsidRDefault="00E53730" w:rsidP="00D22BAF">
      <w:pPr>
        <w:pStyle w:val="Odstavecseseznamem"/>
        <w:numPr>
          <w:ilvl w:val="0"/>
          <w:numId w:val="42"/>
        </w:numPr>
      </w:pPr>
      <w:r>
        <w:t>jakémukoli ruskému státnímu příslušníkovi, fyzické či právnické osobě nebo subjektu či orgánu se sídlem v Rusku,</w:t>
      </w:r>
    </w:p>
    <w:p w14:paraId="467E3A9C" w14:textId="77777777" w:rsidR="00E53730" w:rsidRDefault="00E53730" w:rsidP="00D22BAF">
      <w:pPr>
        <w:pStyle w:val="Odstavecseseznamem"/>
        <w:numPr>
          <w:ilvl w:val="0"/>
          <w:numId w:val="42"/>
        </w:numPr>
      </w:pPr>
      <w:r>
        <w:t>právnické osobě, subjektu nebo orgánu, které jsou z více než 50 % přímo či nepřímo vlastněny některým ze subjektů uvedených v písmeni a) tohoto odstavce, nebo</w:t>
      </w:r>
    </w:p>
    <w:p w14:paraId="739B45B1" w14:textId="77777777" w:rsidR="00E53730" w:rsidRDefault="00E53730" w:rsidP="00D22BAF">
      <w:pPr>
        <w:pStyle w:val="Odstavecseseznamem"/>
        <w:numPr>
          <w:ilvl w:val="0"/>
          <w:numId w:val="42"/>
        </w:numPr>
      </w:pPr>
      <w:r>
        <w:t>fyzické nebo právnické osobě, subjektu nebo orgánu, které jednají jménem nebo na pokyn některého ze subjektů uvedených v písmeni a) nebo b) tohoto odstavce,</w:t>
      </w:r>
    </w:p>
    <w:p w14:paraId="26CD7B08" w14:textId="77777777" w:rsidR="00E53730" w:rsidRDefault="00E53730" w:rsidP="0035364E">
      <w:pPr>
        <w:pStyle w:val="Nadpis2"/>
        <w:numPr>
          <w:ilvl w:val="0"/>
          <w:numId w:val="0"/>
        </w:numPr>
        <w:ind w:left="576"/>
      </w:pPr>
      <w:r>
        <w:t>včetně subdodavatelů, dodavatelů nebo subjektů, jejichž způsobilost je využívána ve smyslu směrnic o zadávání veřejných zakázek, pokud představují více než 10 % hodnoty zakázky, nebo společně s nimi.</w:t>
      </w:r>
    </w:p>
    <w:p w14:paraId="33F5B2C1" w14:textId="08200BB3" w:rsidR="00E53730" w:rsidRDefault="00E53730" w:rsidP="0035364E">
      <w:pPr>
        <w:pStyle w:val="Nadpis2"/>
      </w:pPr>
      <w:r>
        <w:t>Zadavatel požaduje, aby účastník sám jakožto dodavatel, případně dodavatelé v jeho rámci sdružení za účelem účasti v</w:t>
      </w:r>
      <w:r w:rsidR="00331B97">
        <w:t>e výběrovém řízení</w:t>
      </w:r>
      <w:r>
        <w:t xml:space="preserve">, ani žádný z jeho poddodavatelů nebo jiných osob, jejichž způsobilost je využívána ve smyslu směrnic o zadávání veřejných zakázek, </w:t>
      </w:r>
      <w:r w:rsidRPr="00D22BAF">
        <w:rPr>
          <w:b/>
        </w:rPr>
        <w:t>nebyli</w:t>
      </w:r>
      <w:r>
        <w:t xml:space="preserve"> osobami dle odst. 1 tohoto článku a Nařízení č. 833/2014.</w:t>
      </w:r>
    </w:p>
    <w:p w14:paraId="73D76F93" w14:textId="611C1596" w:rsidR="00E53730" w:rsidRDefault="00E53730" w:rsidP="0035364E">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D22BAF">
        <w:rPr>
          <w:b/>
          <w:i/>
        </w:rPr>
        <w:t>Nařízení č. 269/2014</w:t>
      </w:r>
      <w:r>
        <w:t>“), a dalších prováděcích předpisů k tomuto Nařízení č. 269/2014 (</w:t>
      </w:r>
      <w:r w:rsidRPr="00D22BAF">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D22BAF">
        <w:rPr>
          <w:b/>
          <w:i/>
        </w:rPr>
        <w:t>Osoby vedené na sankčních seznamech</w:t>
      </w:r>
      <w:r>
        <w:t>“).</w:t>
      </w:r>
    </w:p>
    <w:p w14:paraId="2AE055F6" w14:textId="5D7DFC49" w:rsidR="00E53730" w:rsidRDefault="00E53730" w:rsidP="0035364E">
      <w:pPr>
        <w:pStyle w:val="Nadpis2"/>
      </w:pPr>
      <w:r>
        <w:t>Zadavatel dále požaduje, aby účastník sám jakožto dodavatel, případně dodavatelé v jeho rám</w:t>
      </w:r>
      <w:r w:rsidR="00331B97">
        <w:t xml:space="preserve">ci sdružení za účelem účasti ve výběrovém </w:t>
      </w:r>
      <w:r>
        <w:t xml:space="preserve">řízení, ani žádný z jeho poddodavatelů nebo jiných osob, jejichž způsobilost je využívána ve smyslu směrnic o zadávání veřejných zakázek, </w:t>
      </w:r>
      <w:r w:rsidRPr="00D22BAF">
        <w:rPr>
          <w:b/>
        </w:rPr>
        <w:t>nebyli</w:t>
      </w:r>
      <w:r>
        <w:t xml:space="preserve"> Osobami vedenými na sankčních seznamech.</w:t>
      </w:r>
    </w:p>
    <w:p w14:paraId="7B4E8612" w14:textId="1130FABE" w:rsidR="00E53730" w:rsidRDefault="00E53730" w:rsidP="0035364E">
      <w:pPr>
        <w:pStyle w:val="Nadpis2"/>
      </w:pPr>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EA21B9">
        <w:t xml:space="preserve"> přílo</w:t>
      </w:r>
      <w:r w:rsidR="00821D01">
        <w:t>ze</w:t>
      </w:r>
      <w:r w:rsidR="00EA21B9">
        <w:t xml:space="preserve"> </w:t>
      </w:r>
      <w:r w:rsidR="00D22BAF">
        <w:t>č. 1</w:t>
      </w:r>
      <w:r>
        <w:t xml:space="preserve"> </w:t>
      </w:r>
      <w:r w:rsidR="00821D01">
        <w:t xml:space="preserve">Kapitole 8 </w:t>
      </w:r>
      <w:r>
        <w:t xml:space="preserve">této </w:t>
      </w:r>
      <w:r w:rsidR="004E7551">
        <w:t>Výzvy</w:t>
      </w:r>
      <w:r>
        <w:t>, v</w:t>
      </w:r>
      <w:r w:rsidR="004E7551">
        <w:t>e</w:t>
      </w:r>
      <w:r>
        <w:t xml:space="preserve"> </w:t>
      </w:r>
      <w:r w:rsidR="004E7551">
        <w:t>své nabídce</w:t>
      </w:r>
      <w:r>
        <w:t>.</w:t>
      </w:r>
    </w:p>
    <w:p w14:paraId="0E7A5A3A" w14:textId="2481B5F2" w:rsidR="00E53730" w:rsidRDefault="00E53730" w:rsidP="0035364E">
      <w:pPr>
        <w:pStyle w:val="Nadpis2"/>
      </w:pPr>
      <w:r>
        <w:t>Zadavatel je oprávněn ověřovat si splnění zadávacích podmínek dle tohoto článku. Vybraný dodavate</w:t>
      </w:r>
      <w:r w:rsidR="004E7551">
        <w:t>l je povinen předložit k výzvě z</w:t>
      </w:r>
      <w:r>
        <w:t xml:space="preserve">adavatele </w:t>
      </w:r>
      <w:r w:rsidR="00533D29">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t>Výzvy</w:t>
      </w:r>
      <w:r>
        <w:t xml:space="preserve">. </w:t>
      </w:r>
    </w:p>
    <w:p w14:paraId="064451B5" w14:textId="243723F6" w:rsidR="00E53730" w:rsidRPr="00E53730" w:rsidRDefault="00E53730" w:rsidP="0035364E">
      <w:pPr>
        <w:pStyle w:val="Nadpis2"/>
      </w:pPr>
      <w:r>
        <w:t xml:space="preserve">V případě postupu účastníka v rozporu s čl. </w:t>
      </w:r>
      <w:r w:rsidR="00D22BAF">
        <w:t>1</w:t>
      </w:r>
      <w:r w:rsidR="00F214DD">
        <w:t>6</w:t>
      </w:r>
      <w:r>
        <w:t xml:space="preserve"> </w:t>
      </w:r>
      <w:r w:rsidR="00533D29">
        <w:t>Výzvy</w:t>
      </w:r>
      <w:r w:rsidR="004E7551">
        <w:t xml:space="preserve"> bude účastník vyloučen z výběrového </w:t>
      </w:r>
      <w:r>
        <w:t>řízení.</w:t>
      </w:r>
    </w:p>
    <w:p w14:paraId="4B5288D1" w14:textId="43FBC0B2" w:rsidR="0028055F" w:rsidRDefault="0028055F" w:rsidP="00E51863">
      <w:pPr>
        <w:pStyle w:val="Nadpis1"/>
      </w:pPr>
      <w:r>
        <w:t>Další požadavky zadavatele</w:t>
      </w:r>
    </w:p>
    <w:p w14:paraId="160872A2" w14:textId="67F26700" w:rsidR="0028055F" w:rsidRDefault="0028055F" w:rsidP="0035364E">
      <w:pPr>
        <w:pStyle w:val="Nadpis2"/>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35364E">
      <w:pPr>
        <w:pStyle w:val="Nadpis2"/>
      </w:pPr>
      <w:r>
        <w:t>Zadavatel si vyhrazuje právo změnit, upřesnit či doplnit tuto Výzvu k podání nabídky až do skončení lhůty pro podání nabídky.</w:t>
      </w:r>
    </w:p>
    <w:p w14:paraId="5D226646" w14:textId="141F7EB0" w:rsidR="0028055F" w:rsidRDefault="005A7A64" w:rsidP="0035364E">
      <w:pPr>
        <w:pStyle w:val="Nadpis2"/>
      </w:pPr>
      <w:r>
        <w:t>Zadavatel si vyhrazuje právo v průběhu výběrového řízení postupovat analogicky dle § 46 a § 113 ZZVZ.</w:t>
      </w:r>
      <w:r w:rsidR="0028055F">
        <w:t xml:space="preserve"> </w:t>
      </w:r>
    </w:p>
    <w:p w14:paraId="558E73E1" w14:textId="5966577F" w:rsidR="00B60BA6" w:rsidRPr="00B60BA6" w:rsidRDefault="00B60BA6" w:rsidP="0035364E">
      <w:pPr>
        <w:pStyle w:val="Nadpis2"/>
      </w:pPr>
      <w:r>
        <w:lastRenderedPageBreak/>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35364E">
      <w:pPr>
        <w:pStyle w:val="Nadpis2"/>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5464974F" w14:textId="3BED9155" w:rsidR="00462A26" w:rsidRPr="004E7551" w:rsidRDefault="00564807" w:rsidP="00EC1F9D">
      <w:pPr>
        <w:pStyle w:val="Nadpis3"/>
      </w:pPr>
      <w:r>
        <w:t xml:space="preserve">Vybraný dodavatel je povinen </w:t>
      </w:r>
      <w:r w:rsidR="000D0AEB">
        <w:t>z</w:t>
      </w:r>
      <w:r>
        <w:t xml:space="preserve">adavateli na písemnou výzvu </w:t>
      </w:r>
      <w:r w:rsidR="003208BA">
        <w:t xml:space="preserve">učiněnou </w:t>
      </w:r>
      <w:r w:rsidR="006913FF" w:rsidRPr="004E7551">
        <w:t>analogicky</w:t>
      </w:r>
      <w:r w:rsidR="009A1D1D" w:rsidRPr="004E7551">
        <w:t xml:space="preserve"> </w:t>
      </w:r>
      <w:r w:rsidR="003208BA" w:rsidRPr="004E7551">
        <w:t>dle § 122 odst. 3 pís</w:t>
      </w:r>
      <w:r w:rsidR="00462A26" w:rsidRPr="004E7551">
        <w:t xml:space="preserve">m. </w:t>
      </w:r>
      <w:r w:rsidR="003208BA" w:rsidRPr="004E7551">
        <w:t>b</w:t>
      </w:r>
      <w:r w:rsidR="00462A26" w:rsidRPr="004E7551">
        <w:t>) ZZVZ předložit:</w:t>
      </w:r>
    </w:p>
    <w:p w14:paraId="3E0A5297" w14:textId="017A8FDA" w:rsidR="004E7551" w:rsidRPr="00D22BAF" w:rsidRDefault="004E7551" w:rsidP="0035364E">
      <w:pPr>
        <w:pStyle w:val="Nadpis2"/>
        <w:numPr>
          <w:ilvl w:val="0"/>
          <w:numId w:val="39"/>
        </w:numPr>
      </w:pPr>
      <w:r w:rsidRPr="00D22BAF">
        <w:t xml:space="preserve">doklady a informace dle čl. </w:t>
      </w:r>
      <w:r w:rsidR="00533D29">
        <w:t>1</w:t>
      </w:r>
      <w:r w:rsidR="00A7167C">
        <w:t>5</w:t>
      </w:r>
      <w:r w:rsidR="00533D29">
        <w:t xml:space="preserve">.3 a čl. </w:t>
      </w:r>
      <w:r w:rsidR="00A7167C">
        <w:t>16</w:t>
      </w:r>
      <w:r w:rsidRPr="00D22BAF">
        <w:t xml:space="preserve">.6 </w:t>
      </w:r>
      <w:r w:rsidR="00533D29">
        <w:t xml:space="preserve">této </w:t>
      </w:r>
      <w:r w:rsidRPr="00D22BAF">
        <w:t>Výzvy</w:t>
      </w:r>
      <w:r w:rsidR="00A7167C">
        <w:rPr>
          <w:rFonts w:eastAsia="Verdana"/>
        </w:rPr>
        <w:t>.</w:t>
      </w:r>
    </w:p>
    <w:p w14:paraId="5F0F1ECF" w14:textId="422710B9" w:rsidR="009A1D1D" w:rsidRPr="009A1D1D" w:rsidRDefault="009A1D1D" w:rsidP="00EC1F9D">
      <w:pPr>
        <w:pStyle w:val="Nadpis3"/>
      </w:pPr>
      <w:r>
        <w:t>Neposkytnutí součinnosti vybraným dodavatelem dle tohoto odstavce je důvodem pro vyloučení vybraného dodavatele.</w:t>
      </w:r>
    </w:p>
    <w:p w14:paraId="58409467" w14:textId="01A303E4" w:rsidR="005A7A64" w:rsidRDefault="005A7A64" w:rsidP="0035364E">
      <w:pPr>
        <w:pStyle w:val="Nadpis2"/>
      </w:pPr>
      <w:r>
        <w:t xml:space="preserve">Zadavatel a vybraný dodavatel jsou povinni bez zbytečného odkladu po oznámení rozhodnutí o výběru uzavřít smlouvu. Vybraného dodavatele, který nesplnil povinnost dle 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35364E">
      <w:pPr>
        <w:pStyle w:val="Nadpis2"/>
      </w:pPr>
      <w:r>
        <w:t>Zadavatel nepřipouští varianty nabídek.</w:t>
      </w:r>
    </w:p>
    <w:p w14:paraId="0AF69900" w14:textId="2C433A7F" w:rsidR="00406142" w:rsidRPr="005E4363" w:rsidRDefault="00406142" w:rsidP="0035364E">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w:t>
      </w:r>
      <w:r w:rsidR="000D0AEB">
        <w:t>z</w:t>
      </w:r>
      <w:r w:rsidR="000D0AEB" w:rsidRPr="007E7459">
        <w:t xml:space="preserve">adavateli </w:t>
      </w:r>
      <w:r w:rsidRPr="007E7459">
        <w:t xml:space="preserve">součinnost, </w:t>
      </w:r>
      <w:r w:rsidR="00F74D79">
        <w:t>sdělí tuto</w:t>
      </w:r>
      <w:r w:rsidRPr="007E7459">
        <w:t xml:space="preserve"> skutečnost ve své nabí</w:t>
      </w:r>
      <w:r w:rsidR="00596C54" w:rsidRPr="007E7459">
        <w:t>d</w:t>
      </w:r>
      <w:r w:rsidRPr="007E7459">
        <w:t xml:space="preserve">ce, a to </w:t>
      </w:r>
      <w:r w:rsidR="00F74D79">
        <w:t> prostřednictvím krycího listu, který je</w:t>
      </w:r>
      <w:r w:rsidR="00EA21B9">
        <w:t xml:space="preserve"> přílohou</w:t>
      </w:r>
      <w:r w:rsidR="00F74D79">
        <w:t xml:space="preserve"> </w:t>
      </w:r>
      <w:r w:rsidR="00D22BAF">
        <w:t>č. 1</w:t>
      </w:r>
      <w:r w:rsidR="00F74D79">
        <w:t xml:space="preserve"> této Výzvy</w:t>
      </w:r>
      <w:r w:rsidRPr="007E7459">
        <w:t>.</w:t>
      </w:r>
    </w:p>
    <w:p w14:paraId="409BE2DF" w14:textId="0677915F" w:rsidR="0028055F" w:rsidRDefault="0028055F" w:rsidP="00E51863">
      <w:pPr>
        <w:pStyle w:val="Nadpis1"/>
      </w:pPr>
      <w:r>
        <w:t>Přílohy tvořící nedílnou součást této Výzvy</w:t>
      </w:r>
    </w:p>
    <w:p w14:paraId="46D51D8D" w14:textId="77777777" w:rsidR="00B93D7B" w:rsidRPr="00135366" w:rsidRDefault="00B93D7B" w:rsidP="00B93D7B">
      <w:pPr>
        <w:pStyle w:val="Odstavecseseznamem"/>
        <w:numPr>
          <w:ilvl w:val="0"/>
          <w:numId w:val="22"/>
        </w:numPr>
        <w:spacing w:line="360" w:lineRule="auto"/>
        <w:ind w:left="357" w:hanging="357"/>
        <w:rPr>
          <w:b/>
        </w:rPr>
      </w:pPr>
      <w:bookmarkStart w:id="16" w:name="_Ref100570642"/>
      <w:r w:rsidRPr="00135366">
        <w:rPr>
          <w:b/>
        </w:rPr>
        <w:t>Krycí list nabídky</w:t>
      </w:r>
      <w:bookmarkEnd w:id="16"/>
      <w:r w:rsidRPr="00135366">
        <w:rPr>
          <w:b/>
        </w:rPr>
        <w:t xml:space="preserve"> </w:t>
      </w:r>
    </w:p>
    <w:p w14:paraId="78DB74EC" w14:textId="77777777" w:rsidR="00B93D7B" w:rsidRPr="00135366" w:rsidRDefault="00B93D7B" w:rsidP="00B93D7B">
      <w:pPr>
        <w:pStyle w:val="Odstavecseseznamem"/>
        <w:numPr>
          <w:ilvl w:val="0"/>
          <w:numId w:val="22"/>
        </w:numPr>
        <w:spacing w:line="360" w:lineRule="auto"/>
        <w:ind w:left="357" w:hanging="357"/>
        <w:rPr>
          <w:b/>
        </w:rPr>
      </w:pPr>
      <w:bookmarkStart w:id="17" w:name="_Ref61425051"/>
      <w:r w:rsidRPr="00135366">
        <w:rPr>
          <w:b/>
        </w:rPr>
        <w:t>Bližší specifikace předmětu plnění</w:t>
      </w:r>
      <w:bookmarkEnd w:id="17"/>
    </w:p>
    <w:p w14:paraId="1621859C" w14:textId="77777777" w:rsidR="00B93D7B" w:rsidRPr="00135366" w:rsidRDefault="00B93D7B" w:rsidP="00B93D7B">
      <w:pPr>
        <w:pStyle w:val="Odstavecseseznamem"/>
        <w:numPr>
          <w:ilvl w:val="0"/>
          <w:numId w:val="22"/>
        </w:numPr>
        <w:spacing w:line="360" w:lineRule="auto"/>
        <w:ind w:left="357" w:hanging="357"/>
        <w:rPr>
          <w:b/>
        </w:rPr>
      </w:pPr>
      <w:bookmarkStart w:id="18" w:name="_Ref61431381"/>
      <w:r w:rsidRPr="00135366">
        <w:rPr>
          <w:b/>
        </w:rPr>
        <w:t>Čestné prohlášení ve vztahu k zákonu o registru smluv</w:t>
      </w:r>
      <w:bookmarkEnd w:id="18"/>
    </w:p>
    <w:p w14:paraId="1F0F7F86" w14:textId="4EB7806C" w:rsidR="00B93D7B" w:rsidRPr="00135366" w:rsidRDefault="00B93D7B" w:rsidP="00B93D7B">
      <w:pPr>
        <w:pStyle w:val="Odstavecseseznamem"/>
        <w:numPr>
          <w:ilvl w:val="0"/>
          <w:numId w:val="22"/>
        </w:numPr>
        <w:spacing w:line="360" w:lineRule="auto"/>
        <w:ind w:left="357" w:hanging="357"/>
        <w:rPr>
          <w:b/>
        </w:rPr>
      </w:pPr>
      <w:bookmarkStart w:id="19" w:name="_Ref61431136"/>
      <w:bookmarkStart w:id="20" w:name="_Ref100572200"/>
      <w:r w:rsidRPr="00135366">
        <w:rPr>
          <w:b/>
        </w:rPr>
        <w:t xml:space="preserve">Závazný vzor </w:t>
      </w:r>
      <w:bookmarkEnd w:id="19"/>
      <w:bookmarkEnd w:id="20"/>
      <w:r>
        <w:rPr>
          <w:b/>
        </w:rPr>
        <w:t>smlouvy o dílo</w:t>
      </w:r>
      <w:r w:rsidR="0094587B">
        <w:rPr>
          <w:b/>
        </w:rPr>
        <w:t xml:space="preserve"> na vytvoření software</w:t>
      </w:r>
      <w:r w:rsidRPr="00135366">
        <w:rPr>
          <w:b/>
        </w:rPr>
        <w:t xml:space="preserve"> </w:t>
      </w:r>
    </w:p>
    <w:p w14:paraId="309C06F5" w14:textId="77777777" w:rsidR="00B93D7B" w:rsidRPr="00135366" w:rsidRDefault="00B93D7B" w:rsidP="00B93D7B">
      <w:pPr>
        <w:pStyle w:val="Odstavecseseznamem"/>
        <w:numPr>
          <w:ilvl w:val="0"/>
          <w:numId w:val="22"/>
        </w:numPr>
        <w:spacing w:line="360" w:lineRule="auto"/>
        <w:ind w:left="357" w:hanging="357"/>
        <w:rPr>
          <w:b/>
        </w:rPr>
      </w:pPr>
      <w:bookmarkStart w:id="21" w:name="_Ref61424464"/>
      <w:r w:rsidRPr="00135366">
        <w:rPr>
          <w:b/>
        </w:rPr>
        <w:t>Vzor životopisu člena realizačního týmu</w:t>
      </w:r>
      <w:bookmarkEnd w:id="21"/>
    </w:p>
    <w:p w14:paraId="6CC39F39" w14:textId="77777777" w:rsidR="00B93D7B" w:rsidRPr="00135366" w:rsidRDefault="00B93D7B" w:rsidP="00B93D7B">
      <w:pPr>
        <w:pStyle w:val="Odstavecseseznamem"/>
        <w:numPr>
          <w:ilvl w:val="0"/>
          <w:numId w:val="22"/>
        </w:numPr>
        <w:spacing w:line="360" w:lineRule="auto"/>
        <w:ind w:left="357" w:hanging="357"/>
        <w:rPr>
          <w:b/>
        </w:rPr>
      </w:pPr>
      <w:r>
        <w:rPr>
          <w:b/>
        </w:rPr>
        <w:t>Cena plnění</w:t>
      </w:r>
    </w:p>
    <w:p w14:paraId="796F1867" w14:textId="2FC2BF36" w:rsidR="00215376" w:rsidRDefault="0028055F" w:rsidP="0028055F">
      <w:r>
        <w:t xml:space="preserve">            </w:t>
      </w:r>
      <w:r w:rsidR="00215376">
        <w:t xml:space="preserve">                               </w:t>
      </w:r>
    </w:p>
    <w:p w14:paraId="73911D29" w14:textId="4B57A0D6" w:rsidR="00215376" w:rsidRDefault="00215376" w:rsidP="0028055F"/>
    <w:p w14:paraId="7BC20595" w14:textId="2EC39859" w:rsidR="00B93D7B" w:rsidRDefault="00B93D7B" w:rsidP="0028055F"/>
    <w:p w14:paraId="20B85F7B" w14:textId="77777777" w:rsidR="00693168" w:rsidRDefault="00693168" w:rsidP="0028055F"/>
    <w:p w14:paraId="2118AD6D" w14:textId="77777777" w:rsidR="00215376" w:rsidRDefault="00215376" w:rsidP="0028055F"/>
    <w:p w14:paraId="268E9A04" w14:textId="77777777" w:rsidR="00B93D7B" w:rsidRDefault="00B93D7B" w:rsidP="00B93D7B">
      <w:pPr>
        <w:ind w:left="0"/>
      </w:pPr>
      <w:r>
        <w:t>…</w:t>
      </w:r>
      <w:r w:rsidRPr="00CE6B33">
        <w:t>…</w:t>
      </w:r>
      <w:r>
        <w:t>……………………………………</w:t>
      </w:r>
    </w:p>
    <w:p w14:paraId="47B74DC4" w14:textId="77777777" w:rsidR="00B93D7B" w:rsidRDefault="00B93D7B" w:rsidP="00B93D7B">
      <w:pPr>
        <w:ind w:left="0"/>
        <w:rPr>
          <w:b/>
        </w:rPr>
      </w:pPr>
    </w:p>
    <w:p w14:paraId="5E2F2886" w14:textId="77777777" w:rsidR="00B93D7B" w:rsidRPr="0016272E" w:rsidRDefault="00B93D7B" w:rsidP="00B93D7B">
      <w:pPr>
        <w:ind w:left="0"/>
      </w:pPr>
      <w:r w:rsidRPr="0016272E">
        <w:rPr>
          <w:b/>
        </w:rPr>
        <w:t>Bc. Jiří Svoboda, MBA</w:t>
      </w:r>
    </w:p>
    <w:p w14:paraId="52329217" w14:textId="77777777" w:rsidR="00B93D7B" w:rsidRDefault="00B93D7B" w:rsidP="00B93D7B">
      <w:pPr>
        <w:ind w:left="0"/>
      </w:pPr>
      <w:r w:rsidRPr="0016272E">
        <w:t>generální ředitel</w:t>
      </w:r>
    </w:p>
    <w:p w14:paraId="19D759F0" w14:textId="5C0AD4B2" w:rsidR="009D78C0" w:rsidRDefault="009D78C0" w:rsidP="00B93D7B">
      <w:pPr>
        <w:ind w:left="0"/>
      </w:pPr>
    </w:p>
    <w:sectPr w:rsidR="009D78C0" w:rsidSect="009561A2">
      <w:headerReference w:type="default" r:id="rId16"/>
      <w:footerReference w:type="default" r:id="rId17"/>
      <w:headerReference w:type="first" r:id="rId18"/>
      <w:footerReference w:type="first" r:id="rId19"/>
      <w:pgSz w:w="11906" w:h="16838" w:code="9"/>
      <w:pgMar w:top="1049" w:right="1134" w:bottom="1474" w:left="2070" w:header="1009" w:footer="66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F289" w16cex:dateUtc="2022-06-23T12:09:00Z"/>
  <w16cex:commentExtensible w16cex:durableId="265EF2F0" w16cex:dateUtc="2022-06-23T12:10:00Z"/>
  <w16cex:commentExtensible w16cex:durableId="265F0F52" w16cex:dateUtc="2022-06-23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A6544" w16cid:durableId="265EF1B9"/>
  <w16cid:commentId w16cid:paraId="2EDF6A6F" w16cid:durableId="265EF289"/>
  <w16cid:commentId w16cid:paraId="2D61E374" w16cid:durableId="265EF1BA"/>
  <w16cid:commentId w16cid:paraId="6D27D3EE" w16cid:durableId="265EF2F0"/>
  <w16cid:commentId w16cid:paraId="7CE96A4D" w16cid:durableId="265EF1BB"/>
  <w16cid:commentId w16cid:paraId="346BFA59" w16cid:durableId="265F0F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D64AB" w14:textId="77777777" w:rsidR="0023710F" w:rsidRDefault="0023710F" w:rsidP="00962258">
      <w:pPr>
        <w:spacing w:line="240" w:lineRule="auto"/>
      </w:pPr>
      <w:r>
        <w:separator/>
      </w:r>
    </w:p>
  </w:endnote>
  <w:endnote w:type="continuationSeparator" w:id="0">
    <w:p w14:paraId="62144C40" w14:textId="77777777" w:rsidR="0023710F" w:rsidRDefault="0023710F"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5246F8C5"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A7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2A79">
            <w:rPr>
              <w:rStyle w:val="slostrnky"/>
              <w:noProof/>
            </w:rPr>
            <w:t>12</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6809A0"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96837A"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55985371" w:rsidR="009D2D6F" w:rsidRPr="00B8518B" w:rsidRDefault="009D2D6F"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2A7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2A79">
            <w:rPr>
              <w:rStyle w:val="slostrnky"/>
              <w:noProof/>
            </w:rPr>
            <w:t>12</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1667EC">
          <w:pPr>
            <w:pStyle w:val="Zpat"/>
            <w:ind w:left="0"/>
          </w:pPr>
          <w:r>
            <w:t>Správa železnic, státní organizace</w:t>
          </w:r>
        </w:p>
        <w:p w14:paraId="1F226E3F" w14:textId="77777777" w:rsidR="009D2D6F" w:rsidRDefault="009D2D6F" w:rsidP="001667EC">
          <w:pPr>
            <w:pStyle w:val="Zpat"/>
            <w:tabs>
              <w:tab w:val="clear" w:pos="4536"/>
              <w:tab w:val="center" w:pos="3398"/>
            </w:tabs>
            <w:ind w:left="0"/>
          </w:pPr>
          <w:r>
            <w:t>zapsána v obchodním rejstříku vedeném Městským</w:t>
          </w:r>
        </w:p>
        <w:p w14:paraId="05BD2446" w14:textId="17A56E7F" w:rsidR="009D2D6F" w:rsidRDefault="009D2D6F"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D2D6F" w:rsidRDefault="009D2D6F" w:rsidP="001667EC">
          <w:pPr>
            <w:pStyle w:val="Zpat"/>
            <w:ind w:left="0" w:right="-3487"/>
          </w:pPr>
          <w:r>
            <w:t>Sídlo: Dlážděná 1003/7, 110 00 Praha 1</w:t>
          </w:r>
        </w:p>
        <w:p w14:paraId="62F6FF4A" w14:textId="77777777" w:rsidR="009D2D6F" w:rsidRDefault="009D2D6F" w:rsidP="001667EC">
          <w:pPr>
            <w:pStyle w:val="Zpat"/>
            <w:ind w:left="0"/>
          </w:pPr>
          <w:r>
            <w:t>IČ: 709 94 234 DIČ: CZ 709 94 234</w:t>
          </w:r>
        </w:p>
        <w:p w14:paraId="38ACAF12" w14:textId="6E46AA60" w:rsidR="009D2D6F" w:rsidRDefault="009D2D6F" w:rsidP="001667EC">
          <w:pPr>
            <w:pStyle w:val="Zpat"/>
            <w:ind w:left="0" w:right="-3487"/>
          </w:pPr>
          <w:r>
            <w:t>www.spravazeleznic.cz</w:t>
          </w:r>
        </w:p>
      </w:tc>
      <w:tc>
        <w:tcPr>
          <w:tcW w:w="2921" w:type="dxa"/>
        </w:tcPr>
        <w:p w14:paraId="53C522AD" w14:textId="77777777" w:rsidR="009D2D6F" w:rsidRDefault="009D2D6F" w:rsidP="00895982">
          <w:pPr>
            <w:pStyle w:val="Zpat"/>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22937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B507AA"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88EE8" w14:textId="77777777" w:rsidR="0023710F" w:rsidRDefault="0023710F" w:rsidP="00962258">
      <w:pPr>
        <w:spacing w:line="240" w:lineRule="auto"/>
      </w:pPr>
      <w:r>
        <w:separator/>
      </w:r>
    </w:p>
  </w:footnote>
  <w:footnote w:type="continuationSeparator" w:id="0">
    <w:p w14:paraId="2C8F1038" w14:textId="77777777" w:rsidR="0023710F" w:rsidRDefault="0023710F" w:rsidP="00962258">
      <w:pPr>
        <w:spacing w:line="240" w:lineRule="auto"/>
      </w:pPr>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0D7515C7" w14:textId="6EF74927" w:rsidR="00E53730" w:rsidRDefault="00E53730">
      <w:pPr>
        <w:pStyle w:val="Textpoznpodarou"/>
      </w:pPr>
      <w:r>
        <w:rPr>
          <w:rStyle w:val="Znakapoznpodarou"/>
        </w:rPr>
        <w:footnoteRef/>
      </w:r>
      <w:r>
        <w:t xml:space="preserve"> </w:t>
      </w:r>
      <w:r w:rsidR="00331B97"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77777777"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shd w:val="clear" w:color="auto" w:fill="auto"/>
          <w:tcMar>
            <w:left w:w="0" w:type="dxa"/>
            <w:right w:w="0" w:type="dxa"/>
          </w:tcMar>
        </w:tcPr>
        <w:p w14:paraId="383D6B28" w14:textId="77777777" w:rsidR="009D2D6F" w:rsidRDefault="009D2D6F" w:rsidP="00FC6389">
          <w:pPr>
            <w:pStyle w:val="Zpat"/>
          </w:pPr>
        </w:p>
      </w:tc>
      <w:tc>
        <w:tcPr>
          <w:tcW w:w="5698" w:type="dxa"/>
          <w:shd w:val="clear" w:color="auto" w:fill="auto"/>
          <w:tcMar>
            <w:left w:w="0" w:type="dxa"/>
            <w:right w:w="0" w:type="dxa"/>
          </w:tcMar>
        </w:tcPr>
        <w:p w14:paraId="383D6B29" w14:textId="77777777" w:rsidR="009D2D6F" w:rsidRDefault="009D2D6F" w:rsidP="00FC6389">
          <w:pPr>
            <w:pStyle w:val="Druhdokumentu"/>
            <w:rPr>
              <w:noProof/>
            </w:rPr>
          </w:pPr>
        </w:p>
      </w:tc>
    </w:tr>
  </w:tbl>
  <w:p w14:paraId="383D6B2B" w14:textId="28F29DE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065DA8"/>
    <w:multiLevelType w:val="hybridMultilevel"/>
    <w:tmpl w:val="644E5D6C"/>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30D7F6C"/>
    <w:multiLevelType w:val="hybridMultilevel"/>
    <w:tmpl w:val="5E30C44C"/>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106ED7"/>
    <w:multiLevelType w:val="hybridMultilevel"/>
    <w:tmpl w:val="D4F2CAA2"/>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7"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3A5346B"/>
    <w:multiLevelType w:val="hybridMultilevel"/>
    <w:tmpl w:val="4A0ACF96"/>
    <w:lvl w:ilvl="0" w:tplc="0405000B">
      <w:start w:val="1"/>
      <w:numFmt w:val="bullet"/>
      <w:lvlText w:val=""/>
      <w:lvlJc w:val="left"/>
      <w:pPr>
        <w:ind w:left="1584" w:hanging="360"/>
      </w:pPr>
      <w:rPr>
        <w:rFonts w:ascii="Wingdings" w:hAnsi="Wingdings"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9"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9F1E02"/>
    <w:multiLevelType w:val="hybridMultilevel"/>
    <w:tmpl w:val="DBB434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2" w15:restartNumberingAfterBreak="0">
    <w:nsid w:val="28962F55"/>
    <w:multiLevelType w:val="hybridMultilevel"/>
    <w:tmpl w:val="D2628B8C"/>
    <w:lvl w:ilvl="0" w:tplc="C65EBB58">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FAA5012"/>
    <w:multiLevelType w:val="hybridMultilevel"/>
    <w:tmpl w:val="260CED3A"/>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6"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513E74FC"/>
    <w:multiLevelType w:val="multilevel"/>
    <w:tmpl w:val="5C76752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70C4724F"/>
    <w:multiLevelType w:val="hybridMultilevel"/>
    <w:tmpl w:val="2BF271E8"/>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6"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0"/>
  </w:num>
  <w:num w:numId="3">
    <w:abstractNumId w:val="13"/>
  </w:num>
  <w:num w:numId="4">
    <w:abstractNumId w:val="24"/>
  </w:num>
  <w:num w:numId="5">
    <w:abstractNumId w:val="11"/>
  </w:num>
  <w:num w:numId="6">
    <w:abstractNumId w:val="9"/>
  </w:num>
  <w:num w:numId="7">
    <w:abstractNumId w:val="9"/>
  </w:num>
  <w:num w:numId="8">
    <w:abstractNumId w:val="27"/>
  </w:num>
  <w:num w:numId="9">
    <w:abstractNumId w:val="21"/>
  </w:num>
  <w:num w:numId="10">
    <w:abstractNumId w:val="7"/>
  </w:num>
  <w:num w:numId="11">
    <w:abstractNumId w:val="28"/>
  </w:num>
  <w:num w:numId="12">
    <w:abstractNumId w:val="3"/>
  </w:num>
  <w:num w:numId="13">
    <w:abstractNumId w:val="16"/>
  </w:num>
  <w:num w:numId="14">
    <w:abstractNumId w:val="18"/>
  </w:num>
  <w:num w:numId="15">
    <w:abstractNumId w:val="26"/>
  </w:num>
  <w:num w:numId="16">
    <w:abstractNumId w:val="20"/>
  </w:num>
  <w:num w:numId="17">
    <w:abstractNumId w:val="17"/>
  </w:num>
  <w:num w:numId="18">
    <w:abstractNumId w:val="19"/>
  </w:num>
  <w:num w:numId="19">
    <w:abstractNumId w:val="2"/>
  </w:num>
  <w:num w:numId="20">
    <w:abstractNumId w:val="19"/>
  </w:num>
  <w:num w:numId="21">
    <w:abstractNumId w:val="19"/>
  </w:num>
  <w:num w:numId="22">
    <w:abstractNumId w:val="12"/>
  </w:num>
  <w:num w:numId="23">
    <w:abstractNumId w:val="15"/>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25"/>
  </w:num>
  <w:num w:numId="40">
    <w:abstractNumId w:val="19"/>
  </w:num>
  <w:num w:numId="41">
    <w:abstractNumId w:val="19"/>
  </w:num>
  <w:num w:numId="42">
    <w:abstractNumId w:val="22"/>
  </w:num>
  <w:num w:numId="43">
    <w:abstractNumId w:val="6"/>
  </w:num>
  <w:num w:numId="44">
    <w:abstractNumId w:val="4"/>
  </w:num>
  <w:num w:numId="45">
    <w:abstractNumId w:val="14"/>
  </w:num>
  <w:num w:numId="46">
    <w:abstractNumId w:val="23"/>
  </w:num>
  <w:num w:numId="47">
    <w:abstractNumId w:val="8"/>
  </w:num>
  <w:num w:numId="48">
    <w:abstractNumId w:val="1"/>
  </w:num>
  <w:num w:numId="49">
    <w:abstractNumId w:val="19"/>
  </w:num>
  <w:num w:numId="5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05109"/>
    <w:rsid w:val="000179AA"/>
    <w:rsid w:val="00022901"/>
    <w:rsid w:val="0003232F"/>
    <w:rsid w:val="00033432"/>
    <w:rsid w:val="000335CC"/>
    <w:rsid w:val="0003731D"/>
    <w:rsid w:val="000507D3"/>
    <w:rsid w:val="00050C34"/>
    <w:rsid w:val="000535C6"/>
    <w:rsid w:val="00054B7D"/>
    <w:rsid w:val="000553D1"/>
    <w:rsid w:val="0007010A"/>
    <w:rsid w:val="00072C1E"/>
    <w:rsid w:val="00074237"/>
    <w:rsid w:val="00086EEB"/>
    <w:rsid w:val="00087C56"/>
    <w:rsid w:val="0009075D"/>
    <w:rsid w:val="00092786"/>
    <w:rsid w:val="000A1480"/>
    <w:rsid w:val="000A2146"/>
    <w:rsid w:val="000B6B91"/>
    <w:rsid w:val="000B7907"/>
    <w:rsid w:val="000C0429"/>
    <w:rsid w:val="000C21AE"/>
    <w:rsid w:val="000C487C"/>
    <w:rsid w:val="000C4ACD"/>
    <w:rsid w:val="000D0AEB"/>
    <w:rsid w:val="000E70CC"/>
    <w:rsid w:val="000F4DEF"/>
    <w:rsid w:val="001106F7"/>
    <w:rsid w:val="0011118E"/>
    <w:rsid w:val="001125BE"/>
    <w:rsid w:val="00114472"/>
    <w:rsid w:val="0011722C"/>
    <w:rsid w:val="001206A4"/>
    <w:rsid w:val="00123227"/>
    <w:rsid w:val="00126640"/>
    <w:rsid w:val="0014702F"/>
    <w:rsid w:val="0016409E"/>
    <w:rsid w:val="001667EC"/>
    <w:rsid w:val="00170EC5"/>
    <w:rsid w:val="001747C1"/>
    <w:rsid w:val="001831EB"/>
    <w:rsid w:val="0018596A"/>
    <w:rsid w:val="001878F2"/>
    <w:rsid w:val="0019179C"/>
    <w:rsid w:val="001A5B17"/>
    <w:rsid w:val="001B0927"/>
    <w:rsid w:val="001C196B"/>
    <w:rsid w:val="001C4DA0"/>
    <w:rsid w:val="001C7844"/>
    <w:rsid w:val="001D0C00"/>
    <w:rsid w:val="001D4E34"/>
    <w:rsid w:val="001E28A5"/>
    <w:rsid w:val="001E2929"/>
    <w:rsid w:val="001F7D98"/>
    <w:rsid w:val="002008D3"/>
    <w:rsid w:val="00201C86"/>
    <w:rsid w:val="00207DF5"/>
    <w:rsid w:val="00210C22"/>
    <w:rsid w:val="002144FE"/>
    <w:rsid w:val="00215376"/>
    <w:rsid w:val="00222962"/>
    <w:rsid w:val="00232E62"/>
    <w:rsid w:val="00235992"/>
    <w:rsid w:val="002363D7"/>
    <w:rsid w:val="0023710F"/>
    <w:rsid w:val="00244C50"/>
    <w:rsid w:val="002451DF"/>
    <w:rsid w:val="00252A50"/>
    <w:rsid w:val="00261506"/>
    <w:rsid w:val="002673CF"/>
    <w:rsid w:val="0026785D"/>
    <w:rsid w:val="00272A79"/>
    <w:rsid w:val="002762F5"/>
    <w:rsid w:val="0028055F"/>
    <w:rsid w:val="00280A26"/>
    <w:rsid w:val="00292CB1"/>
    <w:rsid w:val="002C084D"/>
    <w:rsid w:val="002C268B"/>
    <w:rsid w:val="002C308F"/>
    <w:rsid w:val="002C31BF"/>
    <w:rsid w:val="002E0CD7"/>
    <w:rsid w:val="002F026B"/>
    <w:rsid w:val="002F21CC"/>
    <w:rsid w:val="002F4A67"/>
    <w:rsid w:val="002F6441"/>
    <w:rsid w:val="00317444"/>
    <w:rsid w:val="00317EB6"/>
    <w:rsid w:val="003208BA"/>
    <w:rsid w:val="00331B3D"/>
    <w:rsid w:val="00331B97"/>
    <w:rsid w:val="00337FE4"/>
    <w:rsid w:val="00340B5F"/>
    <w:rsid w:val="00346436"/>
    <w:rsid w:val="0035202F"/>
    <w:rsid w:val="0035364E"/>
    <w:rsid w:val="003569A6"/>
    <w:rsid w:val="00356A70"/>
    <w:rsid w:val="00357BC6"/>
    <w:rsid w:val="003606E4"/>
    <w:rsid w:val="00392FB1"/>
    <w:rsid w:val="003956C6"/>
    <w:rsid w:val="003A3469"/>
    <w:rsid w:val="003A45A7"/>
    <w:rsid w:val="003A66AA"/>
    <w:rsid w:val="003B0A8A"/>
    <w:rsid w:val="003E10FB"/>
    <w:rsid w:val="003E46F0"/>
    <w:rsid w:val="003E75CE"/>
    <w:rsid w:val="003F2CA2"/>
    <w:rsid w:val="003F5636"/>
    <w:rsid w:val="003F6031"/>
    <w:rsid w:val="003F681A"/>
    <w:rsid w:val="003F7720"/>
    <w:rsid w:val="00406142"/>
    <w:rsid w:val="00410622"/>
    <w:rsid w:val="00412E16"/>
    <w:rsid w:val="0041380F"/>
    <w:rsid w:val="0044013D"/>
    <w:rsid w:val="004402F2"/>
    <w:rsid w:val="004471FA"/>
    <w:rsid w:val="00450F07"/>
    <w:rsid w:val="00453B8F"/>
    <w:rsid w:val="00453CD3"/>
    <w:rsid w:val="00454706"/>
    <w:rsid w:val="00455BC7"/>
    <w:rsid w:val="00460660"/>
    <w:rsid w:val="00460CCB"/>
    <w:rsid w:val="00462A26"/>
    <w:rsid w:val="00463608"/>
    <w:rsid w:val="00466631"/>
    <w:rsid w:val="00472C6D"/>
    <w:rsid w:val="00476229"/>
    <w:rsid w:val="00477370"/>
    <w:rsid w:val="00486107"/>
    <w:rsid w:val="00490DEF"/>
    <w:rsid w:val="00491827"/>
    <w:rsid w:val="004926B0"/>
    <w:rsid w:val="00497630"/>
    <w:rsid w:val="00497A09"/>
    <w:rsid w:val="004A7C69"/>
    <w:rsid w:val="004C0246"/>
    <w:rsid w:val="004C29E8"/>
    <w:rsid w:val="004C3C0F"/>
    <w:rsid w:val="004C4399"/>
    <w:rsid w:val="004C69ED"/>
    <w:rsid w:val="004C6A47"/>
    <w:rsid w:val="004C787C"/>
    <w:rsid w:val="004C7AEA"/>
    <w:rsid w:val="004D0BF6"/>
    <w:rsid w:val="004D7C67"/>
    <w:rsid w:val="004E197A"/>
    <w:rsid w:val="004E2FC9"/>
    <w:rsid w:val="004E35C9"/>
    <w:rsid w:val="004E3FD0"/>
    <w:rsid w:val="004E7551"/>
    <w:rsid w:val="004F277D"/>
    <w:rsid w:val="004F3C59"/>
    <w:rsid w:val="004F4992"/>
    <w:rsid w:val="004F49A6"/>
    <w:rsid w:val="004F4B9B"/>
    <w:rsid w:val="005001C3"/>
    <w:rsid w:val="00503155"/>
    <w:rsid w:val="00511AB9"/>
    <w:rsid w:val="005127DF"/>
    <w:rsid w:val="00517853"/>
    <w:rsid w:val="005237A9"/>
    <w:rsid w:val="00523EA7"/>
    <w:rsid w:val="00530C11"/>
    <w:rsid w:val="00533878"/>
    <w:rsid w:val="00533D29"/>
    <w:rsid w:val="00535659"/>
    <w:rsid w:val="0054690D"/>
    <w:rsid w:val="00551D1F"/>
    <w:rsid w:val="00553375"/>
    <w:rsid w:val="00553483"/>
    <w:rsid w:val="00557BBB"/>
    <w:rsid w:val="0056221E"/>
    <w:rsid w:val="0056234D"/>
    <w:rsid w:val="005631A9"/>
    <w:rsid w:val="00564807"/>
    <w:rsid w:val="005658A6"/>
    <w:rsid w:val="005722BB"/>
    <w:rsid w:val="005736B7"/>
    <w:rsid w:val="00575E5A"/>
    <w:rsid w:val="00583726"/>
    <w:rsid w:val="00593ADB"/>
    <w:rsid w:val="005966A9"/>
    <w:rsid w:val="00596C54"/>
    <w:rsid w:val="00596C7E"/>
    <w:rsid w:val="005A64E9"/>
    <w:rsid w:val="005A6B27"/>
    <w:rsid w:val="005A6E0A"/>
    <w:rsid w:val="005A7A64"/>
    <w:rsid w:val="005B5EE9"/>
    <w:rsid w:val="005D3537"/>
    <w:rsid w:val="005E10B3"/>
    <w:rsid w:val="005E40AB"/>
    <w:rsid w:val="005E4363"/>
    <w:rsid w:val="005E52DE"/>
    <w:rsid w:val="005E6882"/>
    <w:rsid w:val="005F65A1"/>
    <w:rsid w:val="0061068E"/>
    <w:rsid w:val="00614F31"/>
    <w:rsid w:val="006177DD"/>
    <w:rsid w:val="00627B19"/>
    <w:rsid w:val="00630556"/>
    <w:rsid w:val="00644143"/>
    <w:rsid w:val="00645D60"/>
    <w:rsid w:val="006503D0"/>
    <w:rsid w:val="00650F64"/>
    <w:rsid w:val="00660AD3"/>
    <w:rsid w:val="006641D5"/>
    <w:rsid w:val="00674FB3"/>
    <w:rsid w:val="0067632D"/>
    <w:rsid w:val="006829CD"/>
    <w:rsid w:val="00683565"/>
    <w:rsid w:val="00685A4E"/>
    <w:rsid w:val="006874DC"/>
    <w:rsid w:val="0068779C"/>
    <w:rsid w:val="006913FF"/>
    <w:rsid w:val="00691D60"/>
    <w:rsid w:val="00693168"/>
    <w:rsid w:val="00695932"/>
    <w:rsid w:val="006A0711"/>
    <w:rsid w:val="006A34EE"/>
    <w:rsid w:val="006A5570"/>
    <w:rsid w:val="006A689C"/>
    <w:rsid w:val="006B2330"/>
    <w:rsid w:val="006B2BB8"/>
    <w:rsid w:val="006B3D79"/>
    <w:rsid w:val="006C54D7"/>
    <w:rsid w:val="006C6380"/>
    <w:rsid w:val="006D237B"/>
    <w:rsid w:val="006E0578"/>
    <w:rsid w:val="006E314D"/>
    <w:rsid w:val="006E642A"/>
    <w:rsid w:val="006F1229"/>
    <w:rsid w:val="006F41BF"/>
    <w:rsid w:val="006F46EB"/>
    <w:rsid w:val="00710723"/>
    <w:rsid w:val="00715CC3"/>
    <w:rsid w:val="00723ED1"/>
    <w:rsid w:val="00726CF4"/>
    <w:rsid w:val="00726ECB"/>
    <w:rsid w:val="0073233F"/>
    <w:rsid w:val="00736ACB"/>
    <w:rsid w:val="00743525"/>
    <w:rsid w:val="00752621"/>
    <w:rsid w:val="007612E0"/>
    <w:rsid w:val="0076286B"/>
    <w:rsid w:val="00763BAA"/>
    <w:rsid w:val="00764595"/>
    <w:rsid w:val="00766846"/>
    <w:rsid w:val="00776209"/>
    <w:rsid w:val="0077673A"/>
    <w:rsid w:val="007846E1"/>
    <w:rsid w:val="00793EE6"/>
    <w:rsid w:val="0079521B"/>
    <w:rsid w:val="007A681B"/>
    <w:rsid w:val="007B570C"/>
    <w:rsid w:val="007C7F83"/>
    <w:rsid w:val="007D1744"/>
    <w:rsid w:val="007D1DBE"/>
    <w:rsid w:val="007E2084"/>
    <w:rsid w:val="007E3473"/>
    <w:rsid w:val="007E4A6E"/>
    <w:rsid w:val="007E6A10"/>
    <w:rsid w:val="007E7459"/>
    <w:rsid w:val="007F0BD1"/>
    <w:rsid w:val="007F56A7"/>
    <w:rsid w:val="007F5ED3"/>
    <w:rsid w:val="00801E0B"/>
    <w:rsid w:val="0080495E"/>
    <w:rsid w:val="00807DD0"/>
    <w:rsid w:val="00813F11"/>
    <w:rsid w:val="00821D01"/>
    <w:rsid w:val="00825D68"/>
    <w:rsid w:val="008534BD"/>
    <w:rsid w:val="00854210"/>
    <w:rsid w:val="008554B5"/>
    <w:rsid w:val="00864C6C"/>
    <w:rsid w:val="00865D4A"/>
    <w:rsid w:val="00881422"/>
    <w:rsid w:val="00893963"/>
    <w:rsid w:val="00895982"/>
    <w:rsid w:val="00896235"/>
    <w:rsid w:val="00896835"/>
    <w:rsid w:val="008A3568"/>
    <w:rsid w:val="008B1286"/>
    <w:rsid w:val="008B2F9D"/>
    <w:rsid w:val="008B741C"/>
    <w:rsid w:val="008C067F"/>
    <w:rsid w:val="008D03B9"/>
    <w:rsid w:val="008D4760"/>
    <w:rsid w:val="008D54EF"/>
    <w:rsid w:val="008E1988"/>
    <w:rsid w:val="008E463B"/>
    <w:rsid w:val="008E6E05"/>
    <w:rsid w:val="008E7E81"/>
    <w:rsid w:val="008F18D6"/>
    <w:rsid w:val="00903106"/>
    <w:rsid w:val="00903BE1"/>
    <w:rsid w:val="00904780"/>
    <w:rsid w:val="00904FBC"/>
    <w:rsid w:val="009050F5"/>
    <w:rsid w:val="00905E15"/>
    <w:rsid w:val="009113A8"/>
    <w:rsid w:val="00921580"/>
    <w:rsid w:val="00922385"/>
    <w:rsid w:val="009223DF"/>
    <w:rsid w:val="00924B8E"/>
    <w:rsid w:val="00933D49"/>
    <w:rsid w:val="00936091"/>
    <w:rsid w:val="00936F64"/>
    <w:rsid w:val="00940D8A"/>
    <w:rsid w:val="0094163E"/>
    <w:rsid w:val="0094587B"/>
    <w:rsid w:val="00952A35"/>
    <w:rsid w:val="009561A2"/>
    <w:rsid w:val="00962258"/>
    <w:rsid w:val="009678B7"/>
    <w:rsid w:val="00982411"/>
    <w:rsid w:val="00985BFC"/>
    <w:rsid w:val="00992499"/>
    <w:rsid w:val="00992D9C"/>
    <w:rsid w:val="009930D6"/>
    <w:rsid w:val="0099496F"/>
    <w:rsid w:val="009965F4"/>
    <w:rsid w:val="00996CB8"/>
    <w:rsid w:val="00996DDA"/>
    <w:rsid w:val="009A1D1D"/>
    <w:rsid w:val="009A3F19"/>
    <w:rsid w:val="009A7568"/>
    <w:rsid w:val="009B1B0D"/>
    <w:rsid w:val="009B2116"/>
    <w:rsid w:val="009B26A0"/>
    <w:rsid w:val="009B2E97"/>
    <w:rsid w:val="009B4DCE"/>
    <w:rsid w:val="009B60E2"/>
    <w:rsid w:val="009B72CC"/>
    <w:rsid w:val="009C0F13"/>
    <w:rsid w:val="009C7D53"/>
    <w:rsid w:val="009D2D6F"/>
    <w:rsid w:val="009D45BD"/>
    <w:rsid w:val="009D78C0"/>
    <w:rsid w:val="009E07F4"/>
    <w:rsid w:val="009E773C"/>
    <w:rsid w:val="009F0793"/>
    <w:rsid w:val="009F392E"/>
    <w:rsid w:val="009F3B31"/>
    <w:rsid w:val="00A1626A"/>
    <w:rsid w:val="00A17AFC"/>
    <w:rsid w:val="00A25FF2"/>
    <w:rsid w:val="00A261B8"/>
    <w:rsid w:val="00A33D6E"/>
    <w:rsid w:val="00A35D86"/>
    <w:rsid w:val="00A43B69"/>
    <w:rsid w:val="00A44328"/>
    <w:rsid w:val="00A60AC2"/>
    <w:rsid w:val="00A6177B"/>
    <w:rsid w:val="00A66136"/>
    <w:rsid w:val="00A7167C"/>
    <w:rsid w:val="00A76A64"/>
    <w:rsid w:val="00A848E9"/>
    <w:rsid w:val="00A92100"/>
    <w:rsid w:val="00AA02FB"/>
    <w:rsid w:val="00AA3DAB"/>
    <w:rsid w:val="00AA4CBB"/>
    <w:rsid w:val="00AA5B72"/>
    <w:rsid w:val="00AA65FA"/>
    <w:rsid w:val="00AA7351"/>
    <w:rsid w:val="00AB6A29"/>
    <w:rsid w:val="00AB6FAD"/>
    <w:rsid w:val="00AC1939"/>
    <w:rsid w:val="00AC54D2"/>
    <w:rsid w:val="00AD056F"/>
    <w:rsid w:val="00AD4801"/>
    <w:rsid w:val="00AD5274"/>
    <w:rsid w:val="00AD5DF6"/>
    <w:rsid w:val="00AD6731"/>
    <w:rsid w:val="00AF0BE7"/>
    <w:rsid w:val="00AF0EB4"/>
    <w:rsid w:val="00AF2667"/>
    <w:rsid w:val="00B00647"/>
    <w:rsid w:val="00B11DC9"/>
    <w:rsid w:val="00B15D0D"/>
    <w:rsid w:val="00B161EB"/>
    <w:rsid w:val="00B228D6"/>
    <w:rsid w:val="00B3335A"/>
    <w:rsid w:val="00B448D4"/>
    <w:rsid w:val="00B44BB7"/>
    <w:rsid w:val="00B45E9E"/>
    <w:rsid w:val="00B55F9C"/>
    <w:rsid w:val="00B60BA6"/>
    <w:rsid w:val="00B676F3"/>
    <w:rsid w:val="00B71608"/>
    <w:rsid w:val="00B71935"/>
    <w:rsid w:val="00B73EA6"/>
    <w:rsid w:val="00B75EE1"/>
    <w:rsid w:val="00B77481"/>
    <w:rsid w:val="00B80C50"/>
    <w:rsid w:val="00B8518B"/>
    <w:rsid w:val="00B908B1"/>
    <w:rsid w:val="00B93D7B"/>
    <w:rsid w:val="00B951FB"/>
    <w:rsid w:val="00B97242"/>
    <w:rsid w:val="00BA73CE"/>
    <w:rsid w:val="00BB3740"/>
    <w:rsid w:val="00BB417D"/>
    <w:rsid w:val="00BC6E3D"/>
    <w:rsid w:val="00BC7012"/>
    <w:rsid w:val="00BC7B29"/>
    <w:rsid w:val="00BD1C0E"/>
    <w:rsid w:val="00BD7E91"/>
    <w:rsid w:val="00BF006C"/>
    <w:rsid w:val="00BF374D"/>
    <w:rsid w:val="00C02D0A"/>
    <w:rsid w:val="00C03121"/>
    <w:rsid w:val="00C03A6E"/>
    <w:rsid w:val="00C12870"/>
    <w:rsid w:val="00C132F5"/>
    <w:rsid w:val="00C16500"/>
    <w:rsid w:val="00C30759"/>
    <w:rsid w:val="00C31A08"/>
    <w:rsid w:val="00C419C4"/>
    <w:rsid w:val="00C44F6A"/>
    <w:rsid w:val="00C51AB9"/>
    <w:rsid w:val="00C71613"/>
    <w:rsid w:val="00C80871"/>
    <w:rsid w:val="00C8207D"/>
    <w:rsid w:val="00C871AB"/>
    <w:rsid w:val="00CB50A7"/>
    <w:rsid w:val="00CC2E6B"/>
    <w:rsid w:val="00CC3DC5"/>
    <w:rsid w:val="00CC7D42"/>
    <w:rsid w:val="00CD1FC4"/>
    <w:rsid w:val="00CD6E7D"/>
    <w:rsid w:val="00CE371D"/>
    <w:rsid w:val="00CE6B33"/>
    <w:rsid w:val="00CF587F"/>
    <w:rsid w:val="00D02A4D"/>
    <w:rsid w:val="00D04A55"/>
    <w:rsid w:val="00D13210"/>
    <w:rsid w:val="00D21061"/>
    <w:rsid w:val="00D21A9F"/>
    <w:rsid w:val="00D22BAF"/>
    <w:rsid w:val="00D316A7"/>
    <w:rsid w:val="00D32EA9"/>
    <w:rsid w:val="00D377D5"/>
    <w:rsid w:val="00D4108E"/>
    <w:rsid w:val="00D52F5E"/>
    <w:rsid w:val="00D6163D"/>
    <w:rsid w:val="00D6221E"/>
    <w:rsid w:val="00D66FB4"/>
    <w:rsid w:val="00D76096"/>
    <w:rsid w:val="00D831A3"/>
    <w:rsid w:val="00D86B1E"/>
    <w:rsid w:val="00DA6FFE"/>
    <w:rsid w:val="00DB3583"/>
    <w:rsid w:val="00DB5235"/>
    <w:rsid w:val="00DC3110"/>
    <w:rsid w:val="00DC647D"/>
    <w:rsid w:val="00DC68E4"/>
    <w:rsid w:val="00DD46F3"/>
    <w:rsid w:val="00DD58A6"/>
    <w:rsid w:val="00DE56F2"/>
    <w:rsid w:val="00DF116D"/>
    <w:rsid w:val="00DF289C"/>
    <w:rsid w:val="00E02327"/>
    <w:rsid w:val="00E03420"/>
    <w:rsid w:val="00E06306"/>
    <w:rsid w:val="00E119B2"/>
    <w:rsid w:val="00E30066"/>
    <w:rsid w:val="00E3312F"/>
    <w:rsid w:val="00E35599"/>
    <w:rsid w:val="00E430AD"/>
    <w:rsid w:val="00E46579"/>
    <w:rsid w:val="00E51863"/>
    <w:rsid w:val="00E5356E"/>
    <w:rsid w:val="00E53730"/>
    <w:rsid w:val="00E5474D"/>
    <w:rsid w:val="00E60A4E"/>
    <w:rsid w:val="00E63C4E"/>
    <w:rsid w:val="00E71E8A"/>
    <w:rsid w:val="00E752A9"/>
    <w:rsid w:val="00E824F1"/>
    <w:rsid w:val="00E92B91"/>
    <w:rsid w:val="00E96351"/>
    <w:rsid w:val="00EA1D39"/>
    <w:rsid w:val="00EA21B9"/>
    <w:rsid w:val="00EB102D"/>
    <w:rsid w:val="00EB104F"/>
    <w:rsid w:val="00EB6809"/>
    <w:rsid w:val="00EB70CA"/>
    <w:rsid w:val="00EC1F9D"/>
    <w:rsid w:val="00ED14BD"/>
    <w:rsid w:val="00EE32D9"/>
    <w:rsid w:val="00EE77DC"/>
    <w:rsid w:val="00EF1C8E"/>
    <w:rsid w:val="00EF45B7"/>
    <w:rsid w:val="00EF4CD2"/>
    <w:rsid w:val="00EF4F67"/>
    <w:rsid w:val="00F01440"/>
    <w:rsid w:val="00F12DEC"/>
    <w:rsid w:val="00F14849"/>
    <w:rsid w:val="00F14E5A"/>
    <w:rsid w:val="00F1715C"/>
    <w:rsid w:val="00F214DD"/>
    <w:rsid w:val="00F22AC8"/>
    <w:rsid w:val="00F27B75"/>
    <w:rsid w:val="00F310F8"/>
    <w:rsid w:val="00F346F2"/>
    <w:rsid w:val="00F35533"/>
    <w:rsid w:val="00F35939"/>
    <w:rsid w:val="00F45607"/>
    <w:rsid w:val="00F47D4E"/>
    <w:rsid w:val="00F5202C"/>
    <w:rsid w:val="00F53C5A"/>
    <w:rsid w:val="00F60778"/>
    <w:rsid w:val="00F6245E"/>
    <w:rsid w:val="00F64786"/>
    <w:rsid w:val="00F659EB"/>
    <w:rsid w:val="00F74D79"/>
    <w:rsid w:val="00F77597"/>
    <w:rsid w:val="00F81010"/>
    <w:rsid w:val="00F83B77"/>
    <w:rsid w:val="00F862D6"/>
    <w:rsid w:val="00F86BA6"/>
    <w:rsid w:val="00F96D8F"/>
    <w:rsid w:val="00FA4CA4"/>
    <w:rsid w:val="00FB2E33"/>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5:docId w15:val="{6EEF8774-B6DC-48CE-A8B5-F11F341D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5364E"/>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5364E"/>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rPr>
      <w:b/>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96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98006144-E5EA-4829-A49C-914111211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5253</Words>
  <Characters>30993</Characters>
  <Application>Microsoft Office Word</Application>
  <DocSecurity>0</DocSecurity>
  <Lines>258</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10</cp:revision>
  <cp:lastPrinted>2022-06-27T14:43:00Z</cp:lastPrinted>
  <dcterms:created xsi:type="dcterms:W3CDTF">2022-06-27T14:31:00Z</dcterms:created>
  <dcterms:modified xsi:type="dcterms:W3CDTF">2022-06-27T14:43:00Z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